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5DC0DE1" w:rsidR="005C211B" w:rsidRDefault="00A05C4D" w:rsidP="009E05ED">
      <w:pPr>
        <w:pStyle w:val="Heading1"/>
      </w:pPr>
      <w:r>
        <w:t>Productivity</w:t>
      </w:r>
    </w:p>
    <w:p w14:paraId="121A0A4B" w14:textId="5D06420D" w:rsidR="00C172E1" w:rsidRDefault="00C172E1" w:rsidP="006672AA"/>
    <w:p w14:paraId="76F7D2EC" w14:textId="727A0A99" w:rsidR="006672AA" w:rsidRDefault="00A05C4D" w:rsidP="006D30EC">
      <w:r>
        <w:t>The solution is shown below.  Based upon these calculations, the manufacturing operation has done a good job to achieve 4.4% productivity.  The rest of the operation had negative productivity to the point that they wiped ou</w:t>
      </w:r>
      <w:r w:rsidR="009A11F8">
        <w:t xml:space="preserve">t all </w:t>
      </w:r>
      <w:r>
        <w:t>of the manufacturing improvement and left the business with a 0.8% negative productivity.</w:t>
      </w:r>
    </w:p>
    <w:p w14:paraId="1DA05F23" w14:textId="77777777" w:rsidR="009A11F8" w:rsidRDefault="009A11F8" w:rsidP="006D30EC"/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2431"/>
        <w:gridCol w:w="1564"/>
        <w:gridCol w:w="1666"/>
        <w:gridCol w:w="1467"/>
        <w:gridCol w:w="1530"/>
      </w:tblGrid>
      <w:tr w:rsidR="009A11F8" w14:paraId="7D32AF6C" w14:textId="472792FC" w:rsidTr="009A11F8">
        <w:tc>
          <w:tcPr>
            <w:tcW w:w="2431" w:type="dxa"/>
            <w:shd w:val="clear" w:color="auto" w:fill="D9D9D9" w:themeFill="background1" w:themeFillShade="D9"/>
          </w:tcPr>
          <w:p w14:paraId="24536D52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Category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F95A3C1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Prior Year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AB7E919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Current Year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1C763096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Adjustment Factor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43EAEBA" w14:textId="6F4ABB0B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Adjusted Current Year</w:t>
            </w:r>
          </w:p>
        </w:tc>
      </w:tr>
      <w:tr w:rsidR="009A11F8" w14:paraId="30298901" w14:textId="03C205F7" w:rsidTr="009A11F8">
        <w:tc>
          <w:tcPr>
            <w:tcW w:w="2431" w:type="dxa"/>
          </w:tcPr>
          <w:p w14:paraId="1C80C6A3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Domestic Sales</w:t>
            </w:r>
          </w:p>
        </w:tc>
        <w:tc>
          <w:tcPr>
            <w:tcW w:w="1564" w:type="dxa"/>
            <w:vAlign w:val="bottom"/>
          </w:tcPr>
          <w:p w14:paraId="13510D32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$253,870,155</w:t>
            </w:r>
          </w:p>
        </w:tc>
        <w:tc>
          <w:tcPr>
            <w:tcW w:w="1666" w:type="dxa"/>
            <w:vAlign w:val="bottom"/>
          </w:tcPr>
          <w:p w14:paraId="2773F090" w14:textId="0A6BF680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$271,012,291</w:t>
            </w:r>
          </w:p>
        </w:tc>
        <w:tc>
          <w:tcPr>
            <w:tcW w:w="1467" w:type="dxa"/>
            <w:vAlign w:val="bottom"/>
          </w:tcPr>
          <w:p w14:paraId="25E07D09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1.017</w:t>
            </w:r>
          </w:p>
        </w:tc>
        <w:tc>
          <w:tcPr>
            <w:tcW w:w="1530" w:type="dxa"/>
            <w:vAlign w:val="bottom"/>
          </w:tcPr>
          <w:p w14:paraId="456B99E4" w14:textId="6D445E40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$266,482,095</w:t>
            </w:r>
          </w:p>
        </w:tc>
      </w:tr>
      <w:tr w:rsidR="009A11F8" w14:paraId="1BB165C9" w14:textId="4BFB8C68" w:rsidTr="009A11F8">
        <w:tc>
          <w:tcPr>
            <w:tcW w:w="2431" w:type="dxa"/>
          </w:tcPr>
          <w:p w14:paraId="4479B0D2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International Sales</w:t>
            </w:r>
          </w:p>
        </w:tc>
        <w:tc>
          <w:tcPr>
            <w:tcW w:w="1564" w:type="dxa"/>
            <w:vAlign w:val="bottom"/>
          </w:tcPr>
          <w:p w14:paraId="0B8150BE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$197,902,254</w:t>
            </w:r>
          </w:p>
        </w:tc>
        <w:tc>
          <w:tcPr>
            <w:tcW w:w="1666" w:type="dxa"/>
            <w:vAlign w:val="bottom"/>
          </w:tcPr>
          <w:p w14:paraId="7B034470" w14:textId="6ADC431F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$229,067,322</w:t>
            </w:r>
          </w:p>
        </w:tc>
        <w:tc>
          <w:tcPr>
            <w:tcW w:w="1467" w:type="dxa"/>
            <w:vAlign w:val="bottom"/>
          </w:tcPr>
          <w:p w14:paraId="47657E77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0.986</w:t>
            </w:r>
          </w:p>
        </w:tc>
        <w:tc>
          <w:tcPr>
            <w:tcW w:w="1530" w:type="dxa"/>
            <w:vAlign w:val="bottom"/>
          </w:tcPr>
          <w:p w14:paraId="0C463DB0" w14:textId="72E0B548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$232,319,799</w:t>
            </w:r>
          </w:p>
        </w:tc>
      </w:tr>
      <w:tr w:rsidR="009A11F8" w14:paraId="33A3A7A6" w14:textId="7DB93C7C" w:rsidTr="009A11F8">
        <w:tc>
          <w:tcPr>
            <w:tcW w:w="2431" w:type="dxa"/>
          </w:tcPr>
          <w:p w14:paraId="7F9A9F97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Direct Material</w:t>
            </w:r>
          </w:p>
        </w:tc>
        <w:tc>
          <w:tcPr>
            <w:tcW w:w="1564" w:type="dxa"/>
            <w:vAlign w:val="bottom"/>
          </w:tcPr>
          <w:p w14:paraId="69E9604F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$103,761,723</w:t>
            </w:r>
          </w:p>
        </w:tc>
        <w:tc>
          <w:tcPr>
            <w:tcW w:w="1666" w:type="dxa"/>
            <w:vAlign w:val="bottom"/>
          </w:tcPr>
          <w:p w14:paraId="3920ABAA" w14:textId="1F07E610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$113,855,651</w:t>
            </w:r>
          </w:p>
        </w:tc>
        <w:tc>
          <w:tcPr>
            <w:tcW w:w="1467" w:type="dxa"/>
            <w:vAlign w:val="bottom"/>
          </w:tcPr>
          <w:p w14:paraId="356660FD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1.022</w:t>
            </w:r>
          </w:p>
        </w:tc>
        <w:tc>
          <w:tcPr>
            <w:tcW w:w="1530" w:type="dxa"/>
            <w:vAlign w:val="bottom"/>
          </w:tcPr>
          <w:p w14:paraId="4652600D" w14:textId="31978AE9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$111,404,746</w:t>
            </w:r>
          </w:p>
        </w:tc>
      </w:tr>
      <w:tr w:rsidR="009A11F8" w14:paraId="196124E4" w14:textId="613BA810" w:rsidTr="009A11F8">
        <w:tc>
          <w:tcPr>
            <w:tcW w:w="2431" w:type="dxa"/>
          </w:tcPr>
          <w:p w14:paraId="286347B3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Direct Labor</w:t>
            </w:r>
          </w:p>
        </w:tc>
        <w:tc>
          <w:tcPr>
            <w:tcW w:w="1564" w:type="dxa"/>
            <w:vAlign w:val="bottom"/>
          </w:tcPr>
          <w:p w14:paraId="03C260F1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$82,345,609</w:t>
            </w:r>
          </w:p>
        </w:tc>
        <w:tc>
          <w:tcPr>
            <w:tcW w:w="1666" w:type="dxa"/>
            <w:vAlign w:val="bottom"/>
          </w:tcPr>
          <w:p w14:paraId="530DB8E5" w14:textId="0D11B993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$86,521,561</w:t>
            </w:r>
          </w:p>
        </w:tc>
        <w:tc>
          <w:tcPr>
            <w:tcW w:w="1467" w:type="dxa"/>
            <w:vAlign w:val="bottom"/>
          </w:tcPr>
          <w:p w14:paraId="507AFDA3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1.017</w:t>
            </w:r>
          </w:p>
        </w:tc>
        <w:tc>
          <w:tcPr>
            <w:tcW w:w="1530" w:type="dxa"/>
            <w:vAlign w:val="bottom"/>
          </w:tcPr>
          <w:p w14:paraId="48AB69BE" w14:textId="1DB8DAF2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$85,075,281</w:t>
            </w:r>
          </w:p>
        </w:tc>
      </w:tr>
      <w:tr w:rsidR="009A11F8" w14:paraId="4FA1A8C7" w14:textId="7304887E" w:rsidTr="009A11F8">
        <w:tc>
          <w:tcPr>
            <w:tcW w:w="2431" w:type="dxa"/>
          </w:tcPr>
          <w:p w14:paraId="3ED10E07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Variable Overhead</w:t>
            </w:r>
          </w:p>
        </w:tc>
        <w:tc>
          <w:tcPr>
            <w:tcW w:w="1564" w:type="dxa"/>
            <w:vAlign w:val="bottom"/>
          </w:tcPr>
          <w:p w14:paraId="7513FC27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$1,253,009</w:t>
            </w:r>
          </w:p>
        </w:tc>
        <w:tc>
          <w:tcPr>
            <w:tcW w:w="1666" w:type="dxa"/>
            <w:vAlign w:val="bottom"/>
          </w:tcPr>
          <w:p w14:paraId="1ABD6DAA" w14:textId="7C08F3FF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$1,371,889</w:t>
            </w:r>
          </w:p>
        </w:tc>
        <w:tc>
          <w:tcPr>
            <w:tcW w:w="1467" w:type="dxa"/>
            <w:vAlign w:val="bottom"/>
          </w:tcPr>
          <w:p w14:paraId="7024D238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1.04</w:t>
            </w:r>
          </w:p>
        </w:tc>
        <w:tc>
          <w:tcPr>
            <w:tcW w:w="1530" w:type="dxa"/>
            <w:vAlign w:val="bottom"/>
          </w:tcPr>
          <w:p w14:paraId="0FF54E40" w14:textId="57B448A2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$1,319,124</w:t>
            </w:r>
          </w:p>
        </w:tc>
      </w:tr>
      <w:tr w:rsidR="009A11F8" w14:paraId="3A9F3CD2" w14:textId="50C7A61F" w:rsidTr="009A11F8">
        <w:tc>
          <w:tcPr>
            <w:tcW w:w="2431" w:type="dxa"/>
          </w:tcPr>
          <w:p w14:paraId="07D4AC7E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Administrative Expenses</w:t>
            </w:r>
          </w:p>
        </w:tc>
        <w:tc>
          <w:tcPr>
            <w:tcW w:w="1564" w:type="dxa"/>
            <w:vAlign w:val="bottom"/>
          </w:tcPr>
          <w:p w14:paraId="04EA1B38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$71,879,810</w:t>
            </w:r>
          </w:p>
        </w:tc>
        <w:tc>
          <w:tcPr>
            <w:tcW w:w="1666" w:type="dxa"/>
            <w:vAlign w:val="bottom"/>
          </w:tcPr>
          <w:p w14:paraId="2422E4B9" w14:textId="7E85754B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$79,140,893</w:t>
            </w:r>
          </w:p>
        </w:tc>
        <w:tc>
          <w:tcPr>
            <w:tcW w:w="1467" w:type="dxa"/>
            <w:vAlign w:val="bottom"/>
          </w:tcPr>
          <w:p w14:paraId="69AD5B94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1.033</w:t>
            </w:r>
          </w:p>
        </w:tc>
        <w:tc>
          <w:tcPr>
            <w:tcW w:w="1530" w:type="dxa"/>
            <w:vAlign w:val="bottom"/>
          </w:tcPr>
          <w:p w14:paraId="163CC7EF" w14:textId="3A535D12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$76,612,675</w:t>
            </w:r>
          </w:p>
        </w:tc>
      </w:tr>
      <w:tr w:rsidR="009A11F8" w14:paraId="6B5100C8" w14:textId="34CED90B" w:rsidTr="009A11F8">
        <w:tc>
          <w:tcPr>
            <w:tcW w:w="2431" w:type="dxa"/>
          </w:tcPr>
          <w:p w14:paraId="09ED0807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Engineering Expenses</w:t>
            </w:r>
          </w:p>
        </w:tc>
        <w:tc>
          <w:tcPr>
            <w:tcW w:w="1564" w:type="dxa"/>
            <w:vAlign w:val="bottom"/>
          </w:tcPr>
          <w:p w14:paraId="6559AFCF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$62,366,766</w:t>
            </w:r>
          </w:p>
        </w:tc>
        <w:tc>
          <w:tcPr>
            <w:tcW w:w="1666" w:type="dxa"/>
            <w:vAlign w:val="bottom"/>
          </w:tcPr>
          <w:p w14:paraId="3CBA8C0A" w14:textId="60F1C198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$76,779,715</w:t>
            </w:r>
          </w:p>
        </w:tc>
        <w:tc>
          <w:tcPr>
            <w:tcW w:w="1467" w:type="dxa"/>
            <w:vAlign w:val="bottom"/>
          </w:tcPr>
          <w:p w14:paraId="5B9B2E6D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1.012</w:t>
            </w:r>
          </w:p>
        </w:tc>
        <w:tc>
          <w:tcPr>
            <w:tcW w:w="1530" w:type="dxa"/>
            <w:vAlign w:val="bottom"/>
          </w:tcPr>
          <w:p w14:paraId="7E693DD4" w14:textId="2B265CCC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$75,869,283</w:t>
            </w:r>
          </w:p>
        </w:tc>
      </w:tr>
      <w:tr w:rsidR="009A11F8" w14:paraId="3EF852BF" w14:textId="2675EF1E" w:rsidTr="009A11F8">
        <w:tc>
          <w:tcPr>
            <w:tcW w:w="2431" w:type="dxa"/>
          </w:tcPr>
          <w:p w14:paraId="1D97FC28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IT Expenses</w:t>
            </w:r>
          </w:p>
        </w:tc>
        <w:tc>
          <w:tcPr>
            <w:tcW w:w="1564" w:type="dxa"/>
            <w:vAlign w:val="bottom"/>
          </w:tcPr>
          <w:p w14:paraId="6AB15BFA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$42,096,461</w:t>
            </w:r>
          </w:p>
        </w:tc>
        <w:tc>
          <w:tcPr>
            <w:tcW w:w="1666" w:type="dxa"/>
            <w:vAlign w:val="bottom"/>
          </w:tcPr>
          <w:p w14:paraId="312270AB" w14:textId="359CCE18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$50,153,471</w:t>
            </w:r>
          </w:p>
        </w:tc>
        <w:tc>
          <w:tcPr>
            <w:tcW w:w="1467" w:type="dxa"/>
            <w:vAlign w:val="bottom"/>
          </w:tcPr>
          <w:p w14:paraId="11492AB6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0.989</w:t>
            </w:r>
          </w:p>
        </w:tc>
        <w:tc>
          <w:tcPr>
            <w:tcW w:w="1530" w:type="dxa"/>
            <w:vAlign w:val="bottom"/>
          </w:tcPr>
          <w:p w14:paraId="15632A8B" w14:textId="79C2CF1B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$50,711,295</w:t>
            </w:r>
          </w:p>
        </w:tc>
      </w:tr>
      <w:tr w:rsidR="009A11F8" w14:paraId="71AD82D0" w14:textId="1863C567" w:rsidTr="009A11F8">
        <w:tc>
          <w:tcPr>
            <w:tcW w:w="2431" w:type="dxa"/>
          </w:tcPr>
          <w:p w14:paraId="578B3FEE" w14:textId="77777777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All Other Expenses</w:t>
            </w:r>
          </w:p>
        </w:tc>
        <w:tc>
          <w:tcPr>
            <w:tcW w:w="1564" w:type="dxa"/>
            <w:vAlign w:val="bottom"/>
          </w:tcPr>
          <w:p w14:paraId="14205F6F" w14:textId="77777777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$39,210,105</w:t>
            </w:r>
          </w:p>
        </w:tc>
        <w:tc>
          <w:tcPr>
            <w:tcW w:w="1666" w:type="dxa"/>
            <w:vAlign w:val="bottom"/>
          </w:tcPr>
          <w:p w14:paraId="38F9F439" w14:textId="5B9B3B72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$48,764,031</w:t>
            </w:r>
          </w:p>
        </w:tc>
        <w:tc>
          <w:tcPr>
            <w:tcW w:w="1467" w:type="dxa"/>
            <w:vAlign w:val="bottom"/>
          </w:tcPr>
          <w:p w14:paraId="681B12CF" w14:textId="77777777" w:rsidR="009A11F8" w:rsidRDefault="009A11F8" w:rsidP="00347F6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1.025</w:t>
            </w:r>
          </w:p>
        </w:tc>
        <w:tc>
          <w:tcPr>
            <w:tcW w:w="1530" w:type="dxa"/>
            <w:vAlign w:val="bottom"/>
          </w:tcPr>
          <w:p w14:paraId="4698CF05" w14:textId="41902636" w:rsidR="009A11F8" w:rsidRDefault="009A11F8" w:rsidP="009A11F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$47,574,665</w:t>
            </w:r>
          </w:p>
        </w:tc>
      </w:tr>
    </w:tbl>
    <w:p w14:paraId="2C6E738B" w14:textId="77777777" w:rsidR="009A11F8" w:rsidRDefault="009A11F8" w:rsidP="006D30EC"/>
    <w:p w14:paraId="4A7F99B4" w14:textId="359FFC12" w:rsidR="00A16308" w:rsidRDefault="009A11F8" w:rsidP="00A05C4D">
      <w:r>
        <w:t>These can be summarized as:</w:t>
      </w:r>
    </w:p>
    <w:tbl>
      <w:tblPr>
        <w:tblStyle w:val="TableGrid"/>
        <w:tblW w:w="7398" w:type="dxa"/>
        <w:tblLook w:val="04A0" w:firstRow="1" w:lastRow="0" w:firstColumn="1" w:lastColumn="0" w:noHBand="0" w:noVBand="1"/>
      </w:tblPr>
      <w:tblGrid>
        <w:gridCol w:w="2431"/>
        <w:gridCol w:w="1564"/>
        <w:gridCol w:w="1666"/>
        <w:gridCol w:w="1737"/>
      </w:tblGrid>
      <w:tr w:rsidR="009A11F8" w14:paraId="6D54DA5A" w14:textId="77777777" w:rsidTr="009A11F8">
        <w:tc>
          <w:tcPr>
            <w:tcW w:w="2431" w:type="dxa"/>
            <w:shd w:val="clear" w:color="auto" w:fill="D9D9D9" w:themeFill="background1" w:themeFillShade="D9"/>
          </w:tcPr>
          <w:p w14:paraId="5997D1A1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Category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051F14B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Prior Year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52A2A1FC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 w:rsidRPr="009F2974">
              <w:rPr>
                <w:b/>
                <w:lang w:val="en-US"/>
              </w:rPr>
              <w:t>Current Year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15620B36" w14:textId="77777777" w:rsidR="009A11F8" w:rsidRPr="009F2974" w:rsidRDefault="009A11F8" w:rsidP="00347F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Adjusted Current Year</w:t>
            </w:r>
          </w:p>
        </w:tc>
      </w:tr>
      <w:tr w:rsidR="009A11F8" w14:paraId="3C7234D9" w14:textId="77777777" w:rsidTr="009A11F8">
        <w:tc>
          <w:tcPr>
            <w:tcW w:w="2431" w:type="dxa"/>
          </w:tcPr>
          <w:p w14:paraId="6B499053" w14:textId="6C41A625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Total Sales</w:t>
            </w:r>
          </w:p>
        </w:tc>
        <w:tc>
          <w:tcPr>
            <w:tcW w:w="1564" w:type="dxa"/>
            <w:vAlign w:val="bottom"/>
          </w:tcPr>
          <w:p w14:paraId="0032B412" w14:textId="13737405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$451,772,409</w:t>
            </w:r>
          </w:p>
        </w:tc>
        <w:tc>
          <w:tcPr>
            <w:tcW w:w="1666" w:type="dxa"/>
            <w:vAlign w:val="bottom"/>
          </w:tcPr>
          <w:p w14:paraId="3432CA04" w14:textId="1112D8FF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$500,079,613</w:t>
            </w:r>
          </w:p>
        </w:tc>
        <w:tc>
          <w:tcPr>
            <w:tcW w:w="1737" w:type="dxa"/>
            <w:vAlign w:val="bottom"/>
          </w:tcPr>
          <w:p w14:paraId="1DD62C67" w14:textId="4729085F" w:rsidR="009A11F8" w:rsidRDefault="009A11F8" w:rsidP="00347F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$498,801,895</w:t>
            </w:r>
          </w:p>
        </w:tc>
      </w:tr>
      <w:tr w:rsidR="009A11F8" w14:paraId="33CB09DE" w14:textId="77777777" w:rsidTr="009A11F8">
        <w:tc>
          <w:tcPr>
            <w:tcW w:w="2431" w:type="dxa"/>
          </w:tcPr>
          <w:p w14:paraId="046242FA" w14:textId="0392275E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Total Costs</w:t>
            </w:r>
          </w:p>
        </w:tc>
        <w:tc>
          <w:tcPr>
            <w:tcW w:w="1564" w:type="dxa"/>
            <w:vAlign w:val="bottom"/>
          </w:tcPr>
          <w:p w14:paraId="48B011A4" w14:textId="3FE1FFF9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$402,913,483</w:t>
            </w:r>
          </w:p>
        </w:tc>
        <w:tc>
          <w:tcPr>
            <w:tcW w:w="1666" w:type="dxa"/>
            <w:vAlign w:val="bottom"/>
          </w:tcPr>
          <w:p w14:paraId="25A1897C" w14:textId="1B1B627D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$456,587,211</w:t>
            </w:r>
          </w:p>
        </w:tc>
        <w:tc>
          <w:tcPr>
            <w:tcW w:w="1737" w:type="dxa"/>
            <w:vAlign w:val="bottom"/>
          </w:tcPr>
          <w:p w14:paraId="23634E99" w14:textId="0C32F3F0" w:rsidR="009A11F8" w:rsidRDefault="009A11F8" w:rsidP="00347F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$448,567,070</w:t>
            </w:r>
          </w:p>
        </w:tc>
      </w:tr>
      <w:tr w:rsidR="009A11F8" w14:paraId="1F84BF7B" w14:textId="77777777" w:rsidTr="009A11F8">
        <w:tc>
          <w:tcPr>
            <w:tcW w:w="2431" w:type="dxa"/>
          </w:tcPr>
          <w:p w14:paraId="0F464BAA" w14:textId="3A08EDA8" w:rsidR="009A11F8" w:rsidRDefault="009A11F8" w:rsidP="00347F60">
            <w:pPr>
              <w:rPr>
                <w:lang w:val="en-US"/>
              </w:rPr>
            </w:pPr>
            <w:r>
              <w:rPr>
                <w:lang w:val="en-US"/>
              </w:rPr>
              <w:t>Variable Costs</w:t>
            </w:r>
          </w:p>
        </w:tc>
        <w:tc>
          <w:tcPr>
            <w:tcW w:w="1564" w:type="dxa"/>
            <w:vAlign w:val="bottom"/>
          </w:tcPr>
          <w:p w14:paraId="16D16D36" w14:textId="4D4A63C3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$187,360,341</w:t>
            </w:r>
          </w:p>
        </w:tc>
        <w:tc>
          <w:tcPr>
            <w:tcW w:w="1666" w:type="dxa"/>
            <w:vAlign w:val="bottom"/>
          </w:tcPr>
          <w:p w14:paraId="7B5769C9" w14:textId="049E2390" w:rsidR="009A11F8" w:rsidRDefault="009A11F8" w:rsidP="00347F60">
            <w:pPr>
              <w:jc w:val="right"/>
              <w:rPr>
                <w:lang w:val="en-US"/>
              </w:rPr>
            </w:pPr>
            <w:r>
              <w:rPr>
                <w:rFonts w:ascii="Calibri" w:hAnsi="Calibri"/>
                <w:color w:val="000000"/>
              </w:rPr>
              <w:t>$201,749,101</w:t>
            </w:r>
          </w:p>
        </w:tc>
        <w:tc>
          <w:tcPr>
            <w:tcW w:w="1737" w:type="dxa"/>
            <w:vAlign w:val="bottom"/>
          </w:tcPr>
          <w:p w14:paraId="15274B69" w14:textId="19C50659" w:rsidR="009A11F8" w:rsidRDefault="009A11F8" w:rsidP="00347F6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$197,799,152</w:t>
            </w:r>
          </w:p>
        </w:tc>
      </w:tr>
    </w:tbl>
    <w:p w14:paraId="5718483B" w14:textId="77777777" w:rsidR="009A11F8" w:rsidRDefault="009A11F8" w:rsidP="00A05C4D"/>
    <w:p w14:paraId="369134BD" w14:textId="578BB7E5" w:rsidR="009A11F8" w:rsidRDefault="009A11F8" w:rsidP="00A05C4D">
      <w:r>
        <w:t>The Sales/Cost Ratio for the prior year is 451,772,409 / 402,913,483 = 1.121</w:t>
      </w:r>
    </w:p>
    <w:p w14:paraId="2D0FF08A" w14:textId="157F57CA" w:rsidR="009A11F8" w:rsidRDefault="009A11F8" w:rsidP="00A05C4D">
      <w:r>
        <w:t xml:space="preserve">The Adjusted Sales/Cost Ratio for the current year is </w:t>
      </w:r>
      <w:r w:rsidR="00BE0ECA">
        <w:t>498,801,895 / 448,567,070 = 1.112</w:t>
      </w:r>
    </w:p>
    <w:p w14:paraId="56ABBD05" w14:textId="353A379B" w:rsidR="00BE0ECA" w:rsidRDefault="00BE0ECA" w:rsidP="00A05C4D">
      <w:r>
        <w:t>The Productivity is (1.112 – 1.121) / 1.12</w:t>
      </w:r>
      <w:r w:rsidR="00F42AA6">
        <w:t>1</w:t>
      </w:r>
      <w:r>
        <w:t xml:space="preserve"> = -.008</w:t>
      </w:r>
      <w:r w:rsidR="00F42AA6">
        <w:t>0</w:t>
      </w:r>
      <w:r>
        <w:t xml:space="preserve">     or    -0.8%</w:t>
      </w:r>
    </w:p>
    <w:p w14:paraId="6E7348A9" w14:textId="77777777" w:rsidR="00BE0ECA" w:rsidRDefault="00BE0ECA" w:rsidP="00A05C4D"/>
    <w:p w14:paraId="78401DFB" w14:textId="2F251107" w:rsidR="00BE0ECA" w:rsidRDefault="00BE0ECA" w:rsidP="00BE0ECA">
      <w:r>
        <w:t>The Sales/Variable Cost Ratio for the prior year is 451,772,409 / 187,360,341 = 2.411</w:t>
      </w:r>
    </w:p>
    <w:p w14:paraId="4ECB2B08" w14:textId="346A90E9" w:rsidR="00BE0ECA" w:rsidRDefault="00BE0ECA" w:rsidP="00BE0ECA">
      <w:r>
        <w:t>The Adjusted Sales/Variable Cost Ratio for the current year is 498,801,895 / 197,799,153 = 2.522</w:t>
      </w:r>
    </w:p>
    <w:p w14:paraId="633EADB1" w14:textId="2D573642" w:rsidR="00BE0ECA" w:rsidRDefault="00BE0ECA" w:rsidP="00BE0ECA">
      <w:r>
        <w:t>The Variable Cost Productivity is (2.522 – 2411) / 2.</w:t>
      </w:r>
      <w:r w:rsidR="00F42AA6">
        <w:t>411</w:t>
      </w:r>
      <w:r>
        <w:t xml:space="preserve"> = .04</w:t>
      </w:r>
      <w:r w:rsidR="00F42AA6">
        <w:t>60</w:t>
      </w:r>
      <w:r>
        <w:t xml:space="preserve">     or    4.</w:t>
      </w:r>
      <w:r w:rsidR="00F42AA6">
        <w:t>6</w:t>
      </w:r>
      <w:r>
        <w:t>%</w:t>
      </w:r>
    </w:p>
    <w:p w14:paraId="57B775AD" w14:textId="546D180A" w:rsidR="00BE0ECA" w:rsidRPr="006672AA" w:rsidRDefault="00BE0ECA" w:rsidP="00BE0ECA"/>
    <w:sectPr w:rsidR="00BE0ECA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1267" w14:textId="77777777" w:rsidR="002E2CC3" w:rsidRDefault="002E2CC3" w:rsidP="003374FE">
      <w:pPr>
        <w:spacing w:after="0" w:line="240" w:lineRule="auto"/>
      </w:pPr>
      <w:r>
        <w:separator/>
      </w:r>
    </w:p>
  </w:endnote>
  <w:endnote w:type="continuationSeparator" w:id="0">
    <w:p w14:paraId="17980DE8" w14:textId="77777777" w:rsidR="002E2CC3" w:rsidRDefault="002E2CC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B9F36" w14:textId="77777777" w:rsidR="006C019F" w:rsidRDefault="006C01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BE25" w14:textId="77777777" w:rsidR="006C019F" w:rsidRDefault="006C01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133D0" w14:textId="77777777" w:rsidR="002E2CC3" w:rsidRDefault="002E2CC3" w:rsidP="003374FE">
      <w:pPr>
        <w:spacing w:after="0" w:line="240" w:lineRule="auto"/>
      </w:pPr>
      <w:r>
        <w:separator/>
      </w:r>
    </w:p>
  </w:footnote>
  <w:footnote w:type="continuationSeparator" w:id="0">
    <w:p w14:paraId="00CE1CED" w14:textId="77777777" w:rsidR="002E2CC3" w:rsidRDefault="002E2CC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071A" w14:textId="77777777" w:rsidR="006C019F" w:rsidRDefault="006C01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B2A0CBA" w:rsidR="00894214" w:rsidRPr="00DB7164" w:rsidRDefault="006C019F" w:rsidP="006C019F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2737096C" wp14:editId="05714383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6D31" w14:textId="77777777" w:rsidR="006C019F" w:rsidRDefault="006C01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D124E"/>
    <w:multiLevelType w:val="hybridMultilevel"/>
    <w:tmpl w:val="BB4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57C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26C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E2CC3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213A"/>
    <w:rsid w:val="00414495"/>
    <w:rsid w:val="0041515F"/>
    <w:rsid w:val="00416C32"/>
    <w:rsid w:val="00424B3D"/>
    <w:rsid w:val="00452330"/>
    <w:rsid w:val="00454645"/>
    <w:rsid w:val="00463B07"/>
    <w:rsid w:val="00465E73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019F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0E99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11F8"/>
    <w:rsid w:val="009A396A"/>
    <w:rsid w:val="009B3C60"/>
    <w:rsid w:val="009C1BA6"/>
    <w:rsid w:val="009C3D02"/>
    <w:rsid w:val="009C40B5"/>
    <w:rsid w:val="009D7572"/>
    <w:rsid w:val="009E05ED"/>
    <w:rsid w:val="00A05C4D"/>
    <w:rsid w:val="00A06073"/>
    <w:rsid w:val="00A10EDD"/>
    <w:rsid w:val="00A137FD"/>
    <w:rsid w:val="00A16308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0ECA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42AA6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DDA4E623-A768-4B83-AB2D-CA0572B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9A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A8B7D-D4A6-824A-AF68-73FD82FF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2018-05-11T00:00:00Z</dcterms:created>
  <dcterms:modified xsi:type="dcterms:W3CDTF">2018-11-23T07:33:00Z</dcterms:modified>
</cp:coreProperties>
</file>