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78EB4B20" w:rsidR="00637206" w:rsidRPr="00307A72" w:rsidRDefault="00FF68E6" w:rsidP="0087346C">
      <w:pPr>
        <w:pStyle w:val="Title"/>
        <w:rPr>
          <w:lang w:val="en-US"/>
        </w:rPr>
      </w:pPr>
      <w:r>
        <w:rPr>
          <w:lang w:val="en-US"/>
        </w:rPr>
        <w:t>Solution</w:t>
      </w:r>
    </w:p>
    <w:p w14:paraId="4D8C8881" w14:textId="4927E5DB" w:rsidR="005C211B" w:rsidRDefault="00383002" w:rsidP="009E05ED">
      <w:pPr>
        <w:pStyle w:val="Heading1"/>
      </w:pPr>
      <w:r>
        <w:t>Financial Reserves</w:t>
      </w:r>
    </w:p>
    <w:p w14:paraId="121A0A4B" w14:textId="5D06420D" w:rsidR="00C172E1" w:rsidRDefault="00C172E1" w:rsidP="006672AA"/>
    <w:p w14:paraId="04FDFAB4" w14:textId="03A7736F" w:rsidR="00383002" w:rsidRDefault="00383002" w:rsidP="006672AA">
      <w:r>
        <w:t>I will list the assumptions I made and why before doing the calculations.  You may make different assumptions and get different answers.  As long as you are following the same general approach and your assumptions are reasonable enough that you could defend them before senior management and Finance; then your calculations should be acceptable.</w:t>
      </w:r>
    </w:p>
    <w:p w14:paraId="77A31281" w14:textId="77777777" w:rsidR="00383002" w:rsidRDefault="00383002" w:rsidP="00383002">
      <w:pPr>
        <w:pStyle w:val="ListParagraph"/>
        <w:numPr>
          <w:ilvl w:val="0"/>
          <w:numId w:val="8"/>
        </w:numPr>
      </w:pPr>
      <w:r>
        <w:t>IT Data Center Manager.</w:t>
      </w:r>
    </w:p>
    <w:p w14:paraId="0440BB08" w14:textId="37BAD5E2" w:rsidR="00383002" w:rsidRDefault="00AC6AFA" w:rsidP="00383002">
      <w:pPr>
        <w:pStyle w:val="ListParagraph"/>
      </w:pPr>
      <w:r>
        <w:t>F</w:t>
      </w:r>
      <w:r w:rsidR="00383002">
        <w:t>irst convert the data into a per event value and average those over the three years.</w:t>
      </w:r>
    </w:p>
    <w:p w14:paraId="66B99867" w14:textId="77777777" w:rsidR="00AC6AFA" w:rsidRDefault="00AC6AFA" w:rsidP="00383002">
      <w:pPr>
        <w:pStyle w:val="ListParagraph"/>
      </w:pPr>
    </w:p>
    <w:tbl>
      <w:tblPr>
        <w:tblStyle w:val="TableGrid"/>
        <w:tblW w:w="0" w:type="auto"/>
        <w:jc w:val="center"/>
        <w:tblLook w:val="04A0" w:firstRow="1" w:lastRow="0" w:firstColumn="1" w:lastColumn="0" w:noHBand="0" w:noVBand="1"/>
      </w:tblPr>
      <w:tblGrid>
        <w:gridCol w:w="2175"/>
        <w:gridCol w:w="723"/>
        <w:gridCol w:w="1170"/>
        <w:gridCol w:w="1170"/>
        <w:gridCol w:w="1435"/>
        <w:gridCol w:w="1170"/>
      </w:tblGrid>
      <w:tr w:rsidR="00AC6AFA" w14:paraId="3CC95F1B" w14:textId="4C7A5BBD" w:rsidTr="00A054CF">
        <w:trPr>
          <w:jc w:val="center"/>
        </w:trPr>
        <w:tc>
          <w:tcPr>
            <w:tcW w:w="2175" w:type="dxa"/>
          </w:tcPr>
          <w:p w14:paraId="7CC17137" w14:textId="77777777" w:rsidR="00AC6AFA" w:rsidRDefault="00AC6AFA" w:rsidP="00AC6AFA">
            <w:pPr>
              <w:pStyle w:val="ListParagraph"/>
              <w:ind w:left="0"/>
              <w:rPr>
                <w:lang w:val="en-US"/>
              </w:rPr>
            </w:pPr>
            <w:r>
              <w:rPr>
                <w:lang w:val="en-US"/>
              </w:rPr>
              <w:t>Account</w:t>
            </w:r>
          </w:p>
        </w:tc>
        <w:tc>
          <w:tcPr>
            <w:tcW w:w="723" w:type="dxa"/>
          </w:tcPr>
          <w:p w14:paraId="242142F1" w14:textId="77777777" w:rsidR="00AC6AFA" w:rsidRDefault="00AC6AFA" w:rsidP="00AC6AFA">
            <w:pPr>
              <w:pStyle w:val="ListParagraph"/>
              <w:ind w:left="0"/>
              <w:jc w:val="center"/>
              <w:rPr>
                <w:lang w:val="en-US"/>
              </w:rPr>
            </w:pPr>
            <w:r>
              <w:rPr>
                <w:lang w:val="en-US"/>
              </w:rPr>
              <w:t>Year</w:t>
            </w:r>
          </w:p>
        </w:tc>
        <w:tc>
          <w:tcPr>
            <w:tcW w:w="1170" w:type="dxa"/>
          </w:tcPr>
          <w:p w14:paraId="2B11EA0C" w14:textId="77777777" w:rsidR="00AC6AFA" w:rsidRDefault="00AC6AFA" w:rsidP="00AC6AFA">
            <w:pPr>
              <w:pStyle w:val="ListParagraph"/>
              <w:ind w:left="0"/>
              <w:jc w:val="center"/>
              <w:rPr>
                <w:lang w:val="en-US"/>
              </w:rPr>
            </w:pPr>
            <w:r>
              <w:rPr>
                <w:lang w:val="en-US"/>
              </w:rPr>
              <w:t>Frequency</w:t>
            </w:r>
          </w:p>
        </w:tc>
        <w:tc>
          <w:tcPr>
            <w:tcW w:w="1170" w:type="dxa"/>
          </w:tcPr>
          <w:p w14:paraId="694CA7AC" w14:textId="77777777" w:rsidR="00AC6AFA" w:rsidRDefault="00AC6AFA" w:rsidP="00AC6AFA">
            <w:pPr>
              <w:pStyle w:val="ListParagraph"/>
              <w:ind w:left="0"/>
              <w:jc w:val="center"/>
              <w:rPr>
                <w:lang w:val="en-US"/>
              </w:rPr>
            </w:pPr>
            <w:r>
              <w:rPr>
                <w:lang w:val="en-US"/>
              </w:rPr>
              <w:t>$$ Spent</w:t>
            </w:r>
          </w:p>
        </w:tc>
        <w:tc>
          <w:tcPr>
            <w:tcW w:w="1170" w:type="dxa"/>
          </w:tcPr>
          <w:p w14:paraId="1B8411FE" w14:textId="0FADBE8C" w:rsidR="00AC6AFA" w:rsidRDefault="00AC6AFA" w:rsidP="00AC6AFA">
            <w:pPr>
              <w:pStyle w:val="ListParagraph"/>
              <w:ind w:left="0"/>
              <w:jc w:val="center"/>
              <w:rPr>
                <w:lang w:val="en-US"/>
              </w:rPr>
            </w:pPr>
            <w:r>
              <w:rPr>
                <w:lang w:val="en-US"/>
              </w:rPr>
              <w:t>Avg / Yr</w:t>
            </w:r>
          </w:p>
        </w:tc>
        <w:tc>
          <w:tcPr>
            <w:tcW w:w="1170" w:type="dxa"/>
          </w:tcPr>
          <w:p w14:paraId="0D1E31D6" w14:textId="1773CC8A" w:rsidR="00AC6AFA" w:rsidRDefault="00AC6AFA" w:rsidP="00AC6AFA">
            <w:pPr>
              <w:pStyle w:val="ListParagraph"/>
              <w:ind w:left="0"/>
              <w:jc w:val="center"/>
              <w:rPr>
                <w:lang w:val="en-US"/>
              </w:rPr>
            </w:pPr>
            <w:r>
              <w:rPr>
                <w:lang w:val="en-US"/>
              </w:rPr>
              <w:t>Avg</w:t>
            </w:r>
          </w:p>
        </w:tc>
      </w:tr>
      <w:tr w:rsidR="00AC6AFA" w14:paraId="65E6A425" w14:textId="5A6A9FDB" w:rsidTr="00A054CF">
        <w:trPr>
          <w:jc w:val="center"/>
        </w:trPr>
        <w:tc>
          <w:tcPr>
            <w:tcW w:w="2175" w:type="dxa"/>
          </w:tcPr>
          <w:p w14:paraId="14525EAF" w14:textId="77777777" w:rsidR="00AC6AFA" w:rsidRDefault="00AC6AFA" w:rsidP="00AC6AFA">
            <w:pPr>
              <w:pStyle w:val="ListParagraph"/>
              <w:ind w:left="0"/>
              <w:rPr>
                <w:lang w:val="en-US"/>
              </w:rPr>
            </w:pPr>
            <w:r>
              <w:rPr>
                <w:lang w:val="en-US"/>
              </w:rPr>
              <w:t>Disaster Recovery</w:t>
            </w:r>
          </w:p>
        </w:tc>
        <w:tc>
          <w:tcPr>
            <w:tcW w:w="723" w:type="dxa"/>
          </w:tcPr>
          <w:p w14:paraId="37072B2E" w14:textId="77777777" w:rsidR="00AC6AFA" w:rsidRDefault="00AC6AFA" w:rsidP="00AC6AFA">
            <w:pPr>
              <w:pStyle w:val="ListParagraph"/>
              <w:ind w:left="0"/>
              <w:jc w:val="center"/>
              <w:rPr>
                <w:lang w:val="en-US"/>
              </w:rPr>
            </w:pPr>
            <w:r>
              <w:rPr>
                <w:lang w:val="en-US"/>
              </w:rPr>
              <w:t>2015</w:t>
            </w:r>
          </w:p>
        </w:tc>
        <w:tc>
          <w:tcPr>
            <w:tcW w:w="1170" w:type="dxa"/>
          </w:tcPr>
          <w:p w14:paraId="291041C1" w14:textId="77777777" w:rsidR="00AC6AFA" w:rsidRDefault="00AC6AFA" w:rsidP="00AC6AFA">
            <w:pPr>
              <w:pStyle w:val="ListParagraph"/>
              <w:ind w:left="0"/>
              <w:jc w:val="center"/>
              <w:rPr>
                <w:lang w:val="en-US"/>
              </w:rPr>
            </w:pPr>
            <w:r>
              <w:rPr>
                <w:lang w:val="en-US"/>
              </w:rPr>
              <w:t>0</w:t>
            </w:r>
          </w:p>
        </w:tc>
        <w:tc>
          <w:tcPr>
            <w:tcW w:w="1170" w:type="dxa"/>
          </w:tcPr>
          <w:p w14:paraId="6FB74BDF" w14:textId="77777777" w:rsidR="00AC6AFA" w:rsidRDefault="00AC6AFA" w:rsidP="00AC6AFA">
            <w:pPr>
              <w:pStyle w:val="ListParagraph"/>
              <w:ind w:left="0"/>
              <w:jc w:val="center"/>
              <w:rPr>
                <w:lang w:val="en-US"/>
              </w:rPr>
            </w:pPr>
            <w:r>
              <w:rPr>
                <w:lang w:val="en-US"/>
              </w:rPr>
              <w:t>0</w:t>
            </w:r>
          </w:p>
        </w:tc>
        <w:tc>
          <w:tcPr>
            <w:tcW w:w="1170" w:type="dxa"/>
          </w:tcPr>
          <w:p w14:paraId="515495B4" w14:textId="507A8F24" w:rsidR="00AC6AFA" w:rsidRDefault="00AC6AFA" w:rsidP="00AC6AFA">
            <w:pPr>
              <w:pStyle w:val="ListParagraph"/>
              <w:ind w:left="0"/>
              <w:jc w:val="center"/>
              <w:rPr>
                <w:lang w:val="en-US"/>
              </w:rPr>
            </w:pPr>
            <w:r>
              <w:rPr>
                <w:lang w:val="en-US"/>
              </w:rPr>
              <w:t>0</w:t>
            </w:r>
          </w:p>
        </w:tc>
        <w:tc>
          <w:tcPr>
            <w:tcW w:w="1170" w:type="dxa"/>
          </w:tcPr>
          <w:p w14:paraId="4783687A" w14:textId="215950F7" w:rsidR="00AC6AFA" w:rsidRDefault="003166D4" w:rsidP="00AC6AFA">
            <w:pPr>
              <w:pStyle w:val="ListParagraph"/>
              <w:ind w:left="0"/>
              <w:jc w:val="center"/>
              <w:rPr>
                <w:lang w:val="en-US"/>
              </w:rPr>
            </w:pPr>
            <w:r>
              <w:rPr>
                <w:lang w:val="en-US"/>
              </w:rPr>
              <w:t>$19,347</w:t>
            </w:r>
          </w:p>
        </w:tc>
      </w:tr>
      <w:tr w:rsidR="00AC6AFA" w14:paraId="58EEC280" w14:textId="174BFAF2" w:rsidTr="00A054CF">
        <w:trPr>
          <w:jc w:val="center"/>
        </w:trPr>
        <w:tc>
          <w:tcPr>
            <w:tcW w:w="2175" w:type="dxa"/>
          </w:tcPr>
          <w:p w14:paraId="5C33FC20" w14:textId="77777777" w:rsidR="00AC6AFA" w:rsidRDefault="00AC6AFA" w:rsidP="00AC6AFA">
            <w:pPr>
              <w:pStyle w:val="ListParagraph"/>
              <w:ind w:left="0"/>
              <w:rPr>
                <w:lang w:val="en-US"/>
              </w:rPr>
            </w:pPr>
          </w:p>
        </w:tc>
        <w:tc>
          <w:tcPr>
            <w:tcW w:w="723" w:type="dxa"/>
          </w:tcPr>
          <w:p w14:paraId="515C4BEA" w14:textId="77777777" w:rsidR="00AC6AFA" w:rsidRDefault="00AC6AFA" w:rsidP="00AC6AFA">
            <w:pPr>
              <w:pStyle w:val="ListParagraph"/>
              <w:ind w:left="0"/>
              <w:jc w:val="center"/>
              <w:rPr>
                <w:lang w:val="en-US"/>
              </w:rPr>
            </w:pPr>
            <w:r>
              <w:rPr>
                <w:lang w:val="en-US"/>
              </w:rPr>
              <w:t>2014</w:t>
            </w:r>
          </w:p>
        </w:tc>
        <w:tc>
          <w:tcPr>
            <w:tcW w:w="1170" w:type="dxa"/>
          </w:tcPr>
          <w:p w14:paraId="5CD92640" w14:textId="77777777" w:rsidR="00AC6AFA" w:rsidRDefault="00AC6AFA" w:rsidP="00AC6AFA">
            <w:pPr>
              <w:pStyle w:val="ListParagraph"/>
              <w:ind w:left="0"/>
              <w:jc w:val="center"/>
              <w:rPr>
                <w:lang w:val="en-US"/>
              </w:rPr>
            </w:pPr>
            <w:r>
              <w:rPr>
                <w:lang w:val="en-US"/>
              </w:rPr>
              <w:t>2</w:t>
            </w:r>
          </w:p>
        </w:tc>
        <w:tc>
          <w:tcPr>
            <w:tcW w:w="1170" w:type="dxa"/>
          </w:tcPr>
          <w:p w14:paraId="119D41B7" w14:textId="77777777" w:rsidR="00AC6AFA" w:rsidRDefault="00AC6AFA" w:rsidP="00AC6AFA">
            <w:pPr>
              <w:pStyle w:val="ListParagraph"/>
              <w:ind w:left="0"/>
              <w:jc w:val="center"/>
              <w:rPr>
                <w:lang w:val="en-US"/>
              </w:rPr>
            </w:pPr>
            <w:r>
              <w:rPr>
                <w:lang w:val="en-US"/>
              </w:rPr>
              <w:t>$34,282</w:t>
            </w:r>
          </w:p>
        </w:tc>
        <w:tc>
          <w:tcPr>
            <w:tcW w:w="1170" w:type="dxa"/>
          </w:tcPr>
          <w:tbl>
            <w:tblPr>
              <w:tblW w:w="1219" w:type="dxa"/>
              <w:tblLook w:val="04A0" w:firstRow="1" w:lastRow="0" w:firstColumn="1" w:lastColumn="0" w:noHBand="0" w:noVBand="1"/>
            </w:tblPr>
            <w:tblGrid>
              <w:gridCol w:w="1219"/>
            </w:tblGrid>
            <w:tr w:rsidR="004B4B36" w:rsidRPr="004B4B36" w14:paraId="3B4AA203" w14:textId="77777777" w:rsidTr="003166D4">
              <w:trPr>
                <w:trHeight w:val="300"/>
              </w:trPr>
              <w:tc>
                <w:tcPr>
                  <w:tcW w:w="1219" w:type="dxa"/>
                  <w:tcBorders>
                    <w:top w:val="nil"/>
                    <w:left w:val="nil"/>
                    <w:bottom w:val="nil"/>
                    <w:right w:val="nil"/>
                  </w:tcBorders>
                  <w:shd w:val="clear" w:color="auto" w:fill="auto"/>
                  <w:noWrap/>
                  <w:vAlign w:val="bottom"/>
                  <w:hideMark/>
                </w:tcPr>
                <w:p w14:paraId="177D419B" w14:textId="77777777" w:rsidR="004B4B36" w:rsidRPr="004B4B36" w:rsidRDefault="004B4B36" w:rsidP="004B4B36">
                  <w:pPr>
                    <w:spacing w:after="0" w:line="240" w:lineRule="auto"/>
                    <w:jc w:val="right"/>
                    <w:rPr>
                      <w:rFonts w:ascii="Calibri" w:eastAsia="Times New Roman" w:hAnsi="Calibri" w:cs="Times New Roman"/>
                      <w:color w:val="000000"/>
                      <w:lang w:val="en-US"/>
                    </w:rPr>
                  </w:pPr>
                  <w:r w:rsidRPr="004B4B36">
                    <w:rPr>
                      <w:rFonts w:ascii="Calibri" w:eastAsia="Times New Roman" w:hAnsi="Calibri" w:cs="Times New Roman"/>
                      <w:color w:val="000000"/>
                      <w:lang w:val="en-US"/>
                    </w:rPr>
                    <w:t>$17,141.00</w:t>
                  </w:r>
                </w:p>
              </w:tc>
            </w:tr>
          </w:tbl>
          <w:p w14:paraId="5BD8DB21" w14:textId="1A2EFBC4" w:rsidR="00AC6AFA" w:rsidRDefault="00AC6AFA" w:rsidP="00AC6AFA">
            <w:pPr>
              <w:pStyle w:val="ListParagraph"/>
              <w:ind w:left="0"/>
              <w:jc w:val="center"/>
              <w:rPr>
                <w:lang w:val="en-US"/>
              </w:rPr>
            </w:pPr>
          </w:p>
        </w:tc>
        <w:tc>
          <w:tcPr>
            <w:tcW w:w="1170" w:type="dxa"/>
          </w:tcPr>
          <w:p w14:paraId="58E6DB99" w14:textId="77777777" w:rsidR="00AC6AFA" w:rsidRDefault="00AC6AFA" w:rsidP="00AC6AFA">
            <w:pPr>
              <w:pStyle w:val="ListParagraph"/>
              <w:ind w:left="0"/>
              <w:jc w:val="center"/>
              <w:rPr>
                <w:lang w:val="en-US"/>
              </w:rPr>
            </w:pPr>
          </w:p>
        </w:tc>
      </w:tr>
      <w:tr w:rsidR="00AC6AFA" w14:paraId="163A26E7" w14:textId="2B835393" w:rsidTr="00A054CF">
        <w:trPr>
          <w:jc w:val="center"/>
        </w:trPr>
        <w:tc>
          <w:tcPr>
            <w:tcW w:w="2175" w:type="dxa"/>
          </w:tcPr>
          <w:p w14:paraId="5AA88B1B" w14:textId="77777777" w:rsidR="00AC6AFA" w:rsidRDefault="00AC6AFA" w:rsidP="00AC6AFA">
            <w:pPr>
              <w:pStyle w:val="ListParagraph"/>
              <w:ind w:left="0"/>
              <w:rPr>
                <w:lang w:val="en-US"/>
              </w:rPr>
            </w:pPr>
          </w:p>
        </w:tc>
        <w:tc>
          <w:tcPr>
            <w:tcW w:w="723" w:type="dxa"/>
          </w:tcPr>
          <w:p w14:paraId="0EED6626" w14:textId="77777777" w:rsidR="00AC6AFA" w:rsidRDefault="00AC6AFA" w:rsidP="00AC6AFA">
            <w:pPr>
              <w:pStyle w:val="ListParagraph"/>
              <w:ind w:left="0"/>
              <w:jc w:val="center"/>
              <w:rPr>
                <w:lang w:val="en-US"/>
              </w:rPr>
            </w:pPr>
            <w:r>
              <w:rPr>
                <w:lang w:val="en-US"/>
              </w:rPr>
              <w:t>2013</w:t>
            </w:r>
          </w:p>
        </w:tc>
        <w:tc>
          <w:tcPr>
            <w:tcW w:w="1170" w:type="dxa"/>
          </w:tcPr>
          <w:p w14:paraId="44748364" w14:textId="77777777" w:rsidR="00AC6AFA" w:rsidRDefault="00AC6AFA" w:rsidP="00AC6AFA">
            <w:pPr>
              <w:pStyle w:val="ListParagraph"/>
              <w:ind w:left="0"/>
              <w:jc w:val="center"/>
              <w:rPr>
                <w:lang w:val="en-US"/>
              </w:rPr>
            </w:pPr>
            <w:r>
              <w:rPr>
                <w:lang w:val="en-US"/>
              </w:rPr>
              <w:t>1</w:t>
            </w:r>
          </w:p>
        </w:tc>
        <w:tc>
          <w:tcPr>
            <w:tcW w:w="1170" w:type="dxa"/>
          </w:tcPr>
          <w:p w14:paraId="44E16706" w14:textId="77777777" w:rsidR="00AC6AFA" w:rsidRDefault="00AC6AFA" w:rsidP="00AC6AFA">
            <w:pPr>
              <w:pStyle w:val="ListParagraph"/>
              <w:ind w:left="0"/>
              <w:jc w:val="center"/>
              <w:rPr>
                <w:lang w:val="en-US"/>
              </w:rPr>
            </w:pPr>
            <w:r>
              <w:rPr>
                <w:lang w:val="en-US"/>
              </w:rPr>
              <w:t>$23,759</w:t>
            </w:r>
          </w:p>
        </w:tc>
        <w:tc>
          <w:tcPr>
            <w:tcW w:w="1170" w:type="dxa"/>
          </w:tcPr>
          <w:p w14:paraId="310BA4F0" w14:textId="047E22C7" w:rsidR="00AC6AFA" w:rsidRDefault="00AC6AFA" w:rsidP="00AC6AFA">
            <w:pPr>
              <w:pStyle w:val="ListParagraph"/>
              <w:ind w:left="0"/>
              <w:jc w:val="center"/>
              <w:rPr>
                <w:lang w:val="en-US"/>
              </w:rPr>
            </w:pPr>
            <w:r>
              <w:rPr>
                <w:lang w:val="en-US"/>
              </w:rPr>
              <w:t>$23,759</w:t>
            </w:r>
          </w:p>
        </w:tc>
        <w:tc>
          <w:tcPr>
            <w:tcW w:w="1170" w:type="dxa"/>
          </w:tcPr>
          <w:p w14:paraId="682A03D2" w14:textId="77777777" w:rsidR="00AC6AFA" w:rsidRDefault="00AC6AFA" w:rsidP="00AC6AFA">
            <w:pPr>
              <w:pStyle w:val="ListParagraph"/>
              <w:ind w:left="0"/>
              <w:jc w:val="center"/>
              <w:rPr>
                <w:lang w:val="en-US"/>
              </w:rPr>
            </w:pPr>
          </w:p>
        </w:tc>
      </w:tr>
      <w:tr w:rsidR="00AC6AFA" w14:paraId="1D3B14C8" w14:textId="2EE16BD4" w:rsidTr="00A054CF">
        <w:trPr>
          <w:jc w:val="center"/>
        </w:trPr>
        <w:tc>
          <w:tcPr>
            <w:tcW w:w="2175" w:type="dxa"/>
          </w:tcPr>
          <w:p w14:paraId="4FF3179A" w14:textId="77777777" w:rsidR="00AC6AFA" w:rsidRDefault="00AC6AFA" w:rsidP="00AC6AFA">
            <w:pPr>
              <w:pStyle w:val="ListParagraph"/>
              <w:ind w:left="0"/>
              <w:rPr>
                <w:lang w:val="en-US"/>
              </w:rPr>
            </w:pPr>
            <w:r>
              <w:rPr>
                <w:lang w:val="en-US"/>
              </w:rPr>
              <w:t>Software Patches</w:t>
            </w:r>
          </w:p>
        </w:tc>
        <w:tc>
          <w:tcPr>
            <w:tcW w:w="723" w:type="dxa"/>
          </w:tcPr>
          <w:p w14:paraId="3BDD44D0" w14:textId="77777777" w:rsidR="00AC6AFA" w:rsidRDefault="00AC6AFA" w:rsidP="00AC6AFA">
            <w:pPr>
              <w:pStyle w:val="ListParagraph"/>
              <w:ind w:left="0"/>
              <w:jc w:val="center"/>
              <w:rPr>
                <w:lang w:val="en-US"/>
              </w:rPr>
            </w:pPr>
            <w:r>
              <w:rPr>
                <w:lang w:val="en-US"/>
              </w:rPr>
              <w:t>2015</w:t>
            </w:r>
          </w:p>
        </w:tc>
        <w:tc>
          <w:tcPr>
            <w:tcW w:w="1170" w:type="dxa"/>
          </w:tcPr>
          <w:p w14:paraId="32A5BF8C" w14:textId="77777777" w:rsidR="00AC6AFA" w:rsidRDefault="00AC6AFA" w:rsidP="00AC6AFA">
            <w:pPr>
              <w:pStyle w:val="ListParagraph"/>
              <w:ind w:left="0"/>
              <w:jc w:val="center"/>
              <w:rPr>
                <w:lang w:val="en-US"/>
              </w:rPr>
            </w:pPr>
            <w:r>
              <w:rPr>
                <w:lang w:val="en-US"/>
              </w:rPr>
              <w:t>37</w:t>
            </w:r>
          </w:p>
        </w:tc>
        <w:tc>
          <w:tcPr>
            <w:tcW w:w="1170" w:type="dxa"/>
          </w:tcPr>
          <w:p w14:paraId="1BB22B7D" w14:textId="77777777" w:rsidR="00AC6AFA" w:rsidRDefault="00AC6AFA" w:rsidP="00AC6AFA">
            <w:pPr>
              <w:pStyle w:val="ListParagraph"/>
              <w:ind w:left="0"/>
              <w:jc w:val="center"/>
              <w:rPr>
                <w:lang w:val="en-US"/>
              </w:rPr>
            </w:pPr>
            <w:r>
              <w:rPr>
                <w:lang w:val="en-US"/>
              </w:rPr>
              <w:t>$58,325</w:t>
            </w:r>
          </w:p>
        </w:tc>
        <w:tc>
          <w:tcPr>
            <w:tcW w:w="1170" w:type="dxa"/>
          </w:tcPr>
          <w:p w14:paraId="304CB79F" w14:textId="5A7355D0" w:rsidR="00AC6AFA" w:rsidRDefault="003166D4" w:rsidP="00AC6AFA">
            <w:pPr>
              <w:pStyle w:val="ListParagraph"/>
              <w:ind w:left="0"/>
              <w:jc w:val="center"/>
              <w:rPr>
                <w:lang w:val="en-US"/>
              </w:rPr>
            </w:pPr>
            <w:r>
              <w:rPr>
                <w:rFonts w:ascii="Calibri" w:eastAsia="Times New Roman" w:hAnsi="Calibri" w:cs="Times New Roman"/>
                <w:color w:val="000000"/>
                <w:lang w:val="en-US"/>
              </w:rPr>
              <w:t>$1,620.14</w:t>
            </w:r>
          </w:p>
        </w:tc>
        <w:tc>
          <w:tcPr>
            <w:tcW w:w="1170" w:type="dxa"/>
          </w:tcPr>
          <w:p w14:paraId="18F26402" w14:textId="1DD4CF0D" w:rsidR="00AC6AFA" w:rsidRDefault="003166D4" w:rsidP="00AC6AFA">
            <w:pPr>
              <w:pStyle w:val="ListParagraph"/>
              <w:ind w:left="0"/>
              <w:jc w:val="center"/>
              <w:rPr>
                <w:lang w:val="en-US"/>
              </w:rPr>
            </w:pPr>
            <w:r>
              <w:rPr>
                <w:lang w:val="en-US"/>
              </w:rPr>
              <w:t>$1,757.96</w:t>
            </w:r>
          </w:p>
        </w:tc>
      </w:tr>
      <w:tr w:rsidR="00AC6AFA" w14:paraId="518AF970" w14:textId="25F358DA" w:rsidTr="00A054CF">
        <w:trPr>
          <w:jc w:val="center"/>
        </w:trPr>
        <w:tc>
          <w:tcPr>
            <w:tcW w:w="2175" w:type="dxa"/>
          </w:tcPr>
          <w:p w14:paraId="7E99033C" w14:textId="77777777" w:rsidR="00AC6AFA" w:rsidRDefault="00AC6AFA" w:rsidP="00AC6AFA">
            <w:pPr>
              <w:pStyle w:val="ListParagraph"/>
              <w:ind w:left="0"/>
              <w:rPr>
                <w:lang w:val="en-US"/>
              </w:rPr>
            </w:pPr>
          </w:p>
        </w:tc>
        <w:tc>
          <w:tcPr>
            <w:tcW w:w="723" w:type="dxa"/>
          </w:tcPr>
          <w:p w14:paraId="4F1E190B" w14:textId="77777777" w:rsidR="00AC6AFA" w:rsidRDefault="00AC6AFA" w:rsidP="00AC6AFA">
            <w:pPr>
              <w:pStyle w:val="ListParagraph"/>
              <w:ind w:left="0"/>
              <w:jc w:val="center"/>
              <w:rPr>
                <w:lang w:val="en-US"/>
              </w:rPr>
            </w:pPr>
            <w:r>
              <w:rPr>
                <w:lang w:val="en-US"/>
              </w:rPr>
              <w:t>2014</w:t>
            </w:r>
          </w:p>
        </w:tc>
        <w:tc>
          <w:tcPr>
            <w:tcW w:w="1170" w:type="dxa"/>
          </w:tcPr>
          <w:p w14:paraId="50B3ABC3" w14:textId="77777777" w:rsidR="00AC6AFA" w:rsidRDefault="00AC6AFA" w:rsidP="00AC6AFA">
            <w:pPr>
              <w:pStyle w:val="ListParagraph"/>
              <w:ind w:left="0"/>
              <w:jc w:val="center"/>
              <w:rPr>
                <w:lang w:val="en-US"/>
              </w:rPr>
            </w:pPr>
            <w:r>
              <w:rPr>
                <w:lang w:val="en-US"/>
              </w:rPr>
              <w:t>41</w:t>
            </w:r>
          </w:p>
        </w:tc>
        <w:tc>
          <w:tcPr>
            <w:tcW w:w="1170" w:type="dxa"/>
          </w:tcPr>
          <w:p w14:paraId="17D13FD8" w14:textId="77777777" w:rsidR="00AC6AFA" w:rsidRDefault="00AC6AFA" w:rsidP="00AC6AFA">
            <w:pPr>
              <w:pStyle w:val="ListParagraph"/>
              <w:ind w:left="0"/>
              <w:jc w:val="center"/>
              <w:rPr>
                <w:lang w:val="en-US"/>
              </w:rPr>
            </w:pPr>
            <w:r>
              <w:rPr>
                <w:lang w:val="en-US"/>
              </w:rPr>
              <w:t>$88,227</w:t>
            </w:r>
          </w:p>
        </w:tc>
        <w:tc>
          <w:tcPr>
            <w:tcW w:w="1170" w:type="dxa"/>
          </w:tcPr>
          <w:p w14:paraId="01504F90" w14:textId="7F8CF002" w:rsidR="00AC6AFA" w:rsidRDefault="00444A02" w:rsidP="00AC6AFA">
            <w:pPr>
              <w:pStyle w:val="ListParagraph"/>
              <w:ind w:left="0"/>
              <w:jc w:val="center"/>
              <w:rPr>
                <w:lang w:val="en-US"/>
              </w:rPr>
            </w:pPr>
            <w:r w:rsidRPr="004B4B36">
              <w:rPr>
                <w:rFonts w:ascii="Calibri" w:eastAsia="Times New Roman" w:hAnsi="Calibri" w:cs="Times New Roman"/>
                <w:color w:val="000000"/>
                <w:lang w:val="en-US"/>
              </w:rPr>
              <w:t>$2,151.88</w:t>
            </w:r>
          </w:p>
        </w:tc>
        <w:tc>
          <w:tcPr>
            <w:tcW w:w="1170" w:type="dxa"/>
          </w:tcPr>
          <w:p w14:paraId="03A4588C" w14:textId="77777777" w:rsidR="00AC6AFA" w:rsidRDefault="00AC6AFA" w:rsidP="00AC6AFA">
            <w:pPr>
              <w:pStyle w:val="ListParagraph"/>
              <w:ind w:left="0"/>
              <w:jc w:val="center"/>
              <w:rPr>
                <w:lang w:val="en-US"/>
              </w:rPr>
            </w:pPr>
          </w:p>
        </w:tc>
      </w:tr>
      <w:tr w:rsidR="00AC6AFA" w14:paraId="4D561F81" w14:textId="52E5B2EC" w:rsidTr="00A054CF">
        <w:trPr>
          <w:jc w:val="center"/>
        </w:trPr>
        <w:tc>
          <w:tcPr>
            <w:tcW w:w="2175" w:type="dxa"/>
          </w:tcPr>
          <w:p w14:paraId="5B9031D3" w14:textId="77777777" w:rsidR="00AC6AFA" w:rsidRDefault="00AC6AFA" w:rsidP="00AC6AFA">
            <w:pPr>
              <w:pStyle w:val="ListParagraph"/>
              <w:ind w:left="0"/>
              <w:rPr>
                <w:lang w:val="en-US"/>
              </w:rPr>
            </w:pPr>
          </w:p>
        </w:tc>
        <w:tc>
          <w:tcPr>
            <w:tcW w:w="723" w:type="dxa"/>
          </w:tcPr>
          <w:p w14:paraId="45D45A52" w14:textId="77777777" w:rsidR="00AC6AFA" w:rsidRDefault="00AC6AFA" w:rsidP="00AC6AFA">
            <w:pPr>
              <w:pStyle w:val="ListParagraph"/>
              <w:ind w:left="0"/>
              <w:jc w:val="center"/>
              <w:rPr>
                <w:lang w:val="en-US"/>
              </w:rPr>
            </w:pPr>
            <w:r>
              <w:rPr>
                <w:lang w:val="en-US"/>
              </w:rPr>
              <w:t>2013</w:t>
            </w:r>
          </w:p>
        </w:tc>
        <w:tc>
          <w:tcPr>
            <w:tcW w:w="1170" w:type="dxa"/>
          </w:tcPr>
          <w:p w14:paraId="7E99E07D" w14:textId="77777777" w:rsidR="00AC6AFA" w:rsidRDefault="00AC6AFA" w:rsidP="00AC6AFA">
            <w:pPr>
              <w:pStyle w:val="ListParagraph"/>
              <w:ind w:left="0"/>
              <w:jc w:val="center"/>
              <w:rPr>
                <w:lang w:val="en-US"/>
              </w:rPr>
            </w:pPr>
            <w:r>
              <w:rPr>
                <w:lang w:val="en-US"/>
              </w:rPr>
              <w:t>33</w:t>
            </w:r>
          </w:p>
        </w:tc>
        <w:tc>
          <w:tcPr>
            <w:tcW w:w="1170" w:type="dxa"/>
          </w:tcPr>
          <w:p w14:paraId="70462068" w14:textId="77777777" w:rsidR="00AC6AFA" w:rsidRDefault="00AC6AFA" w:rsidP="00AC6AFA">
            <w:pPr>
              <w:pStyle w:val="ListParagraph"/>
              <w:ind w:left="0"/>
              <w:jc w:val="center"/>
              <w:rPr>
                <w:lang w:val="en-US"/>
              </w:rPr>
            </w:pPr>
            <w:r>
              <w:rPr>
                <w:lang w:val="en-US"/>
              </w:rPr>
              <w:t>$48,482</w:t>
            </w:r>
          </w:p>
        </w:tc>
        <w:tc>
          <w:tcPr>
            <w:tcW w:w="1170" w:type="dxa"/>
          </w:tcPr>
          <w:p w14:paraId="4E3CA391" w14:textId="5E776D3F" w:rsidR="00AC6AFA" w:rsidRDefault="003166D4" w:rsidP="00AC6AFA">
            <w:pPr>
              <w:pStyle w:val="ListParagraph"/>
              <w:ind w:left="0"/>
              <w:jc w:val="center"/>
              <w:rPr>
                <w:lang w:val="en-US"/>
              </w:rPr>
            </w:pPr>
            <w:r>
              <w:rPr>
                <w:rFonts w:ascii="Calibri" w:eastAsia="Times New Roman" w:hAnsi="Calibri" w:cs="Times New Roman"/>
                <w:color w:val="000000"/>
                <w:lang w:val="en-US"/>
              </w:rPr>
              <w:t>$1,425.94</w:t>
            </w:r>
          </w:p>
        </w:tc>
        <w:tc>
          <w:tcPr>
            <w:tcW w:w="1170" w:type="dxa"/>
          </w:tcPr>
          <w:p w14:paraId="510DED30" w14:textId="77777777" w:rsidR="00AC6AFA" w:rsidRDefault="00AC6AFA" w:rsidP="00AC6AFA">
            <w:pPr>
              <w:pStyle w:val="ListParagraph"/>
              <w:ind w:left="0"/>
              <w:jc w:val="center"/>
              <w:rPr>
                <w:lang w:val="en-US"/>
              </w:rPr>
            </w:pPr>
          </w:p>
        </w:tc>
      </w:tr>
      <w:tr w:rsidR="00AC6AFA" w14:paraId="21E36EBE" w14:textId="1E512208" w:rsidTr="00A054CF">
        <w:trPr>
          <w:jc w:val="center"/>
        </w:trPr>
        <w:tc>
          <w:tcPr>
            <w:tcW w:w="2175" w:type="dxa"/>
          </w:tcPr>
          <w:p w14:paraId="7C037D17" w14:textId="77777777" w:rsidR="00AC6AFA" w:rsidRDefault="00AC6AFA" w:rsidP="00AC6AFA">
            <w:pPr>
              <w:pStyle w:val="ListParagraph"/>
              <w:ind w:left="0"/>
              <w:rPr>
                <w:lang w:val="en-US"/>
              </w:rPr>
            </w:pPr>
            <w:r>
              <w:rPr>
                <w:lang w:val="en-US"/>
              </w:rPr>
              <w:t>Education &amp; Training</w:t>
            </w:r>
          </w:p>
        </w:tc>
        <w:tc>
          <w:tcPr>
            <w:tcW w:w="723" w:type="dxa"/>
          </w:tcPr>
          <w:p w14:paraId="2CE2C468" w14:textId="77777777" w:rsidR="00AC6AFA" w:rsidRDefault="00AC6AFA" w:rsidP="00AC6AFA">
            <w:pPr>
              <w:pStyle w:val="ListParagraph"/>
              <w:ind w:left="0"/>
              <w:jc w:val="center"/>
              <w:rPr>
                <w:lang w:val="en-US"/>
              </w:rPr>
            </w:pPr>
            <w:r>
              <w:rPr>
                <w:lang w:val="en-US"/>
              </w:rPr>
              <w:t>2015</w:t>
            </w:r>
          </w:p>
        </w:tc>
        <w:tc>
          <w:tcPr>
            <w:tcW w:w="1170" w:type="dxa"/>
          </w:tcPr>
          <w:p w14:paraId="12959696" w14:textId="77777777" w:rsidR="00AC6AFA" w:rsidRDefault="00AC6AFA" w:rsidP="00AC6AFA">
            <w:pPr>
              <w:pStyle w:val="ListParagraph"/>
              <w:ind w:left="0"/>
              <w:jc w:val="center"/>
              <w:rPr>
                <w:lang w:val="en-US"/>
              </w:rPr>
            </w:pPr>
            <w:r>
              <w:rPr>
                <w:lang w:val="en-US"/>
              </w:rPr>
              <w:t>4 hires</w:t>
            </w:r>
          </w:p>
        </w:tc>
        <w:tc>
          <w:tcPr>
            <w:tcW w:w="1170" w:type="dxa"/>
          </w:tcPr>
          <w:p w14:paraId="0FBEB2F1" w14:textId="77777777" w:rsidR="00AC6AFA" w:rsidRDefault="00AC6AFA" w:rsidP="00AC6AFA">
            <w:pPr>
              <w:pStyle w:val="ListParagraph"/>
              <w:ind w:left="0"/>
              <w:jc w:val="center"/>
              <w:rPr>
                <w:lang w:val="en-US"/>
              </w:rPr>
            </w:pPr>
            <w:r>
              <w:rPr>
                <w:lang w:val="en-US"/>
              </w:rPr>
              <w:t>$8,755</w:t>
            </w:r>
          </w:p>
        </w:tc>
        <w:tc>
          <w:tcPr>
            <w:tcW w:w="1170" w:type="dxa"/>
          </w:tcPr>
          <w:p w14:paraId="6962DD29" w14:textId="1D393432" w:rsidR="00AC6AFA" w:rsidRDefault="004B4B36" w:rsidP="00AC6AFA">
            <w:pPr>
              <w:pStyle w:val="ListParagraph"/>
              <w:ind w:left="0"/>
              <w:jc w:val="center"/>
              <w:rPr>
                <w:lang w:val="en-US"/>
              </w:rPr>
            </w:pPr>
            <w:r w:rsidRPr="004B4B36">
              <w:rPr>
                <w:rFonts w:ascii="Calibri" w:eastAsia="Times New Roman" w:hAnsi="Calibri" w:cs="Times New Roman"/>
                <w:color w:val="000000"/>
                <w:lang w:val="en-US"/>
              </w:rPr>
              <w:t>$2,188.75</w:t>
            </w:r>
          </w:p>
        </w:tc>
        <w:tc>
          <w:tcPr>
            <w:tcW w:w="1170" w:type="dxa"/>
          </w:tcPr>
          <w:p w14:paraId="29934D59" w14:textId="0817EF62" w:rsidR="00AC6AFA" w:rsidRDefault="003166D4" w:rsidP="00AC6AFA">
            <w:pPr>
              <w:pStyle w:val="ListParagraph"/>
              <w:ind w:left="0"/>
              <w:jc w:val="center"/>
              <w:rPr>
                <w:lang w:val="en-US"/>
              </w:rPr>
            </w:pPr>
            <w:r>
              <w:rPr>
                <w:lang w:val="en-US"/>
              </w:rPr>
              <w:t>$2,763.75</w:t>
            </w:r>
          </w:p>
        </w:tc>
      </w:tr>
      <w:tr w:rsidR="00AC6AFA" w14:paraId="4F8D21D4" w14:textId="130B0AE7" w:rsidTr="00A054CF">
        <w:trPr>
          <w:jc w:val="center"/>
        </w:trPr>
        <w:tc>
          <w:tcPr>
            <w:tcW w:w="2175" w:type="dxa"/>
          </w:tcPr>
          <w:p w14:paraId="2D1C226D" w14:textId="77777777" w:rsidR="00AC6AFA" w:rsidRDefault="00AC6AFA" w:rsidP="00AC6AFA">
            <w:pPr>
              <w:pStyle w:val="ListParagraph"/>
              <w:ind w:left="0"/>
              <w:rPr>
                <w:lang w:val="en-US"/>
              </w:rPr>
            </w:pPr>
          </w:p>
        </w:tc>
        <w:tc>
          <w:tcPr>
            <w:tcW w:w="723" w:type="dxa"/>
          </w:tcPr>
          <w:p w14:paraId="2B617A4E" w14:textId="77777777" w:rsidR="00AC6AFA" w:rsidRDefault="00AC6AFA" w:rsidP="00AC6AFA">
            <w:pPr>
              <w:pStyle w:val="ListParagraph"/>
              <w:ind w:left="0"/>
              <w:jc w:val="center"/>
              <w:rPr>
                <w:lang w:val="en-US"/>
              </w:rPr>
            </w:pPr>
            <w:r>
              <w:rPr>
                <w:lang w:val="en-US"/>
              </w:rPr>
              <w:t>2014</w:t>
            </w:r>
          </w:p>
        </w:tc>
        <w:tc>
          <w:tcPr>
            <w:tcW w:w="1170" w:type="dxa"/>
          </w:tcPr>
          <w:p w14:paraId="559DB97B" w14:textId="77777777" w:rsidR="00AC6AFA" w:rsidRDefault="00AC6AFA" w:rsidP="00AC6AFA">
            <w:pPr>
              <w:pStyle w:val="ListParagraph"/>
              <w:ind w:left="0"/>
              <w:jc w:val="center"/>
              <w:rPr>
                <w:lang w:val="en-US"/>
              </w:rPr>
            </w:pPr>
            <w:r>
              <w:rPr>
                <w:lang w:val="en-US"/>
              </w:rPr>
              <w:t>11 hires</w:t>
            </w:r>
          </w:p>
        </w:tc>
        <w:tc>
          <w:tcPr>
            <w:tcW w:w="1170" w:type="dxa"/>
          </w:tcPr>
          <w:p w14:paraId="1EE197E6" w14:textId="77777777" w:rsidR="00AC6AFA" w:rsidRDefault="00AC6AFA" w:rsidP="00AC6AFA">
            <w:pPr>
              <w:pStyle w:val="ListParagraph"/>
              <w:ind w:left="0"/>
              <w:jc w:val="center"/>
              <w:rPr>
                <w:lang w:val="en-US"/>
              </w:rPr>
            </w:pPr>
            <w:r>
              <w:rPr>
                <w:lang w:val="en-US"/>
              </w:rPr>
              <w:t>$29,209</w:t>
            </w:r>
          </w:p>
        </w:tc>
        <w:tc>
          <w:tcPr>
            <w:tcW w:w="1170" w:type="dxa"/>
          </w:tcPr>
          <w:p w14:paraId="633535D4" w14:textId="384AA614" w:rsidR="00AC6AFA" w:rsidRDefault="004B4B36" w:rsidP="00AC6AFA">
            <w:pPr>
              <w:pStyle w:val="ListParagraph"/>
              <w:ind w:left="0"/>
              <w:jc w:val="center"/>
              <w:rPr>
                <w:lang w:val="en-US"/>
              </w:rPr>
            </w:pPr>
            <w:r w:rsidRPr="004B4B36">
              <w:rPr>
                <w:rFonts w:ascii="Calibri" w:eastAsia="Times New Roman" w:hAnsi="Calibri" w:cs="Times New Roman"/>
                <w:color w:val="000000"/>
                <w:lang w:val="en-US"/>
              </w:rPr>
              <w:t>$2,655.36</w:t>
            </w:r>
          </w:p>
        </w:tc>
        <w:tc>
          <w:tcPr>
            <w:tcW w:w="1170" w:type="dxa"/>
          </w:tcPr>
          <w:p w14:paraId="29AE02E8" w14:textId="77777777" w:rsidR="00AC6AFA" w:rsidRDefault="00AC6AFA" w:rsidP="00AC6AFA">
            <w:pPr>
              <w:pStyle w:val="ListParagraph"/>
              <w:ind w:left="0"/>
              <w:jc w:val="center"/>
              <w:rPr>
                <w:lang w:val="en-US"/>
              </w:rPr>
            </w:pPr>
          </w:p>
        </w:tc>
      </w:tr>
      <w:tr w:rsidR="00AC6AFA" w14:paraId="20FB60B4" w14:textId="13B24099" w:rsidTr="00A054CF">
        <w:trPr>
          <w:jc w:val="center"/>
        </w:trPr>
        <w:tc>
          <w:tcPr>
            <w:tcW w:w="2175" w:type="dxa"/>
          </w:tcPr>
          <w:p w14:paraId="7457A298" w14:textId="77777777" w:rsidR="00AC6AFA" w:rsidRDefault="00AC6AFA" w:rsidP="00AC6AFA">
            <w:pPr>
              <w:pStyle w:val="ListParagraph"/>
              <w:ind w:left="0"/>
              <w:rPr>
                <w:lang w:val="en-US"/>
              </w:rPr>
            </w:pPr>
          </w:p>
        </w:tc>
        <w:tc>
          <w:tcPr>
            <w:tcW w:w="723" w:type="dxa"/>
          </w:tcPr>
          <w:p w14:paraId="6105A697" w14:textId="77777777" w:rsidR="00AC6AFA" w:rsidRDefault="00AC6AFA" w:rsidP="00AC6AFA">
            <w:pPr>
              <w:pStyle w:val="ListParagraph"/>
              <w:ind w:left="0"/>
              <w:jc w:val="center"/>
              <w:rPr>
                <w:lang w:val="en-US"/>
              </w:rPr>
            </w:pPr>
            <w:r>
              <w:rPr>
                <w:lang w:val="en-US"/>
              </w:rPr>
              <w:t>2013</w:t>
            </w:r>
          </w:p>
        </w:tc>
        <w:tc>
          <w:tcPr>
            <w:tcW w:w="1170" w:type="dxa"/>
          </w:tcPr>
          <w:p w14:paraId="30D4D4FC" w14:textId="77777777" w:rsidR="00AC6AFA" w:rsidRDefault="00AC6AFA" w:rsidP="00AC6AFA">
            <w:pPr>
              <w:pStyle w:val="ListParagraph"/>
              <w:ind w:left="0"/>
              <w:jc w:val="center"/>
              <w:rPr>
                <w:lang w:val="en-US"/>
              </w:rPr>
            </w:pPr>
            <w:r>
              <w:rPr>
                <w:lang w:val="en-US"/>
              </w:rPr>
              <w:t>5 hires</w:t>
            </w:r>
          </w:p>
        </w:tc>
        <w:tc>
          <w:tcPr>
            <w:tcW w:w="1170" w:type="dxa"/>
          </w:tcPr>
          <w:p w14:paraId="6FFB9120" w14:textId="77777777" w:rsidR="00AC6AFA" w:rsidRDefault="00AC6AFA" w:rsidP="00AC6AFA">
            <w:pPr>
              <w:pStyle w:val="ListParagraph"/>
              <w:ind w:left="0"/>
              <w:jc w:val="center"/>
              <w:rPr>
                <w:lang w:val="en-US"/>
              </w:rPr>
            </w:pPr>
            <w:r>
              <w:rPr>
                <w:lang w:val="en-US"/>
              </w:rPr>
              <w:t>$17,311</w:t>
            </w:r>
          </w:p>
        </w:tc>
        <w:tc>
          <w:tcPr>
            <w:tcW w:w="1170" w:type="dxa"/>
          </w:tcPr>
          <w:p w14:paraId="5242E048" w14:textId="73A40918" w:rsidR="00AC6AFA" w:rsidRDefault="004B4B36" w:rsidP="00AC6AFA">
            <w:pPr>
              <w:pStyle w:val="ListParagraph"/>
              <w:ind w:left="0"/>
              <w:jc w:val="center"/>
              <w:rPr>
                <w:lang w:val="en-US"/>
              </w:rPr>
            </w:pPr>
            <w:r w:rsidRPr="004B4B36">
              <w:rPr>
                <w:rFonts w:ascii="Calibri" w:eastAsia="Times New Roman" w:hAnsi="Calibri" w:cs="Times New Roman"/>
                <w:color w:val="000000"/>
                <w:lang w:val="en-US"/>
              </w:rPr>
              <w:t>$3,462.20</w:t>
            </w:r>
          </w:p>
        </w:tc>
        <w:tc>
          <w:tcPr>
            <w:tcW w:w="1170" w:type="dxa"/>
          </w:tcPr>
          <w:p w14:paraId="3864D78B" w14:textId="77777777" w:rsidR="00AC6AFA" w:rsidRDefault="00AC6AFA" w:rsidP="00AC6AFA">
            <w:pPr>
              <w:pStyle w:val="ListParagraph"/>
              <w:ind w:left="0"/>
              <w:jc w:val="center"/>
              <w:rPr>
                <w:lang w:val="en-US"/>
              </w:rPr>
            </w:pPr>
          </w:p>
        </w:tc>
      </w:tr>
    </w:tbl>
    <w:p w14:paraId="05823005" w14:textId="77777777" w:rsidR="00AC6AFA" w:rsidRDefault="00AC6AFA" w:rsidP="003166D4"/>
    <w:p w14:paraId="6E78EE87" w14:textId="7BC46D5B" w:rsidR="00AC6AFA" w:rsidRDefault="00AC6AFA" w:rsidP="00383002">
      <w:pPr>
        <w:pStyle w:val="ListParagraph"/>
      </w:pPr>
      <w:r>
        <w:t>Then make assumptions about the upcoming year and how much to put into the reserve accounts.</w:t>
      </w:r>
    </w:p>
    <w:p w14:paraId="6944AD9D" w14:textId="77777777" w:rsidR="00320B2D" w:rsidRDefault="00320B2D" w:rsidP="00383002">
      <w:pPr>
        <w:pStyle w:val="ListParagraph"/>
      </w:pPr>
    </w:p>
    <w:p w14:paraId="6A18F97C" w14:textId="6A7E4083" w:rsidR="003166D4" w:rsidRDefault="003166D4" w:rsidP="00383002">
      <w:pPr>
        <w:pStyle w:val="ListParagraph"/>
      </w:pPr>
      <w:r>
        <w:t xml:space="preserve">Disaster Recovery assumption – average of 1 event per year; use </w:t>
      </w:r>
      <w:proofErr w:type="gramStart"/>
      <w:r>
        <w:t>3 year</w:t>
      </w:r>
      <w:proofErr w:type="gramEnd"/>
      <w:r>
        <w:t xml:space="preserve"> average of $19,347, assign a date of mid-year</w:t>
      </w:r>
      <w:r w:rsidR="00320B2D">
        <w:t xml:space="preserve"> (Jul)</w:t>
      </w:r>
      <w:r>
        <w:t>.</w:t>
      </w:r>
    </w:p>
    <w:p w14:paraId="0AC544AB" w14:textId="77777777" w:rsidR="00320B2D" w:rsidRDefault="00320B2D" w:rsidP="00383002">
      <w:pPr>
        <w:pStyle w:val="ListParagraph"/>
      </w:pPr>
    </w:p>
    <w:p w14:paraId="75F1416D" w14:textId="32F134AB" w:rsidR="003166D4" w:rsidRDefault="003166D4" w:rsidP="00383002">
      <w:pPr>
        <w:pStyle w:val="ListParagraph"/>
      </w:pPr>
      <w:r>
        <w:t xml:space="preserve">Software Patches assumption – average of 37 per year, use </w:t>
      </w:r>
      <w:proofErr w:type="gramStart"/>
      <w:r>
        <w:t>3 year</w:t>
      </w:r>
      <w:proofErr w:type="gramEnd"/>
      <w:r>
        <w:t xml:space="preserve"> average of $1,757.96 per event for a total of </w:t>
      </w:r>
      <w:r w:rsidR="00320B2D">
        <w:t>$65,011.  I wold spread the cost to 3 events per month and 4 events in the month of July (mid-year)</w:t>
      </w:r>
    </w:p>
    <w:p w14:paraId="4CE8056C" w14:textId="77777777" w:rsidR="00320B2D" w:rsidRDefault="00320B2D" w:rsidP="00383002">
      <w:pPr>
        <w:pStyle w:val="ListParagraph"/>
      </w:pPr>
    </w:p>
    <w:p w14:paraId="3063B285" w14:textId="24751892" w:rsidR="00AC6AFA" w:rsidRDefault="00320B2D" w:rsidP="00320B2D">
      <w:pPr>
        <w:pStyle w:val="ListParagraph"/>
      </w:pPr>
      <w:r>
        <w:t xml:space="preserve">Education and training – in this case there has been a definite trend of lower education costs each year (possibly due to more online training).  – average of 7 new hires (round up to next higher whole number) and use 2015 average of $2,188.75 for a total of $15,321.  I would spread the cost to one every other month with the extra occurring mid-year (Jan, Mar, May, Jun, Jul, Sep, Nov) </w:t>
      </w:r>
    </w:p>
    <w:p w14:paraId="39CC9993" w14:textId="77777777" w:rsidR="00383002" w:rsidRDefault="00383002" w:rsidP="00383002">
      <w:pPr>
        <w:pStyle w:val="ListParagraph"/>
      </w:pPr>
    </w:p>
    <w:p w14:paraId="1CD7B689" w14:textId="1A44B014" w:rsidR="00383002" w:rsidRDefault="007357E3" w:rsidP="00383002">
      <w:pPr>
        <w:pStyle w:val="ListParagraph"/>
        <w:numPr>
          <w:ilvl w:val="0"/>
          <w:numId w:val="8"/>
        </w:numPr>
      </w:pPr>
      <w:r>
        <w:t>The project reserve for the remaining two risks is:</w:t>
      </w:r>
    </w:p>
    <w:p w14:paraId="57C398D9" w14:textId="0A093AC8" w:rsidR="007357E3" w:rsidRDefault="007357E3" w:rsidP="00C67436">
      <w:pPr>
        <w:pStyle w:val="ListParagraph"/>
        <w:numPr>
          <w:ilvl w:val="0"/>
          <w:numId w:val="9"/>
        </w:numPr>
      </w:pPr>
      <w:r>
        <w:t xml:space="preserve">$10,000 for the impact due to a team member leaving.  I would not assign this to any particular set of activities but rather hold it as a </w:t>
      </w:r>
      <w:r w:rsidR="00C67436">
        <w:t>project-level reserve.  The project work that will require the funding will vary depending upon which team leaves and when they leave.</w:t>
      </w:r>
    </w:p>
    <w:p w14:paraId="5CF36B4D" w14:textId="27771983" w:rsidR="00C67436" w:rsidRDefault="00C67436" w:rsidP="00C67436">
      <w:pPr>
        <w:pStyle w:val="ListParagraph"/>
        <w:numPr>
          <w:ilvl w:val="0"/>
          <w:numId w:val="9"/>
        </w:numPr>
      </w:pPr>
      <w:r>
        <w:t>$75,000 for the impact of tooling and test equipment which I would pre-position in that set of tasks as an “issue resolution” task.  This is a judgement call, but since risk is only moderate, I am assuming only one of these two items will need work.</w:t>
      </w:r>
    </w:p>
    <w:p w14:paraId="42D5401C" w14:textId="22790502" w:rsidR="00C67436" w:rsidRDefault="00C67436" w:rsidP="007357E3">
      <w:pPr>
        <w:pStyle w:val="ListParagraph"/>
      </w:pPr>
      <w:proofErr w:type="gramStart"/>
      <w:r>
        <w:lastRenderedPageBreak/>
        <w:t>Therefore</w:t>
      </w:r>
      <w:proofErr w:type="gramEnd"/>
      <w:r>
        <w:t xml:space="preserve"> at the project level there is a $10,000 reserve to address issues associated with project team turnover.  There is an additional reserve task in the set of tasks associated with the development and setup of tooling and test equipment that is estimated at $75,000.  The new total project cost should be budgeted at $1,870,200. </w:t>
      </w:r>
    </w:p>
    <w:p w14:paraId="15DEA93E" w14:textId="0C387620" w:rsidR="004B7332" w:rsidRDefault="004B7332" w:rsidP="00C67436">
      <w:pPr>
        <w:pStyle w:val="ListParagraph"/>
      </w:pPr>
    </w:p>
    <w:p w14:paraId="6D184E0A" w14:textId="2B655BBD" w:rsidR="00C67436" w:rsidRDefault="00C67436" w:rsidP="00C67436">
      <w:pPr>
        <w:pStyle w:val="ListParagraph"/>
      </w:pPr>
      <w:r>
        <w:t>There is nothing put in the project budget for the lost revenue because this is not a project expense.  It is a business impact and should be considered when deciding which risk mitigation responses to incorporate.  However, the project does not “pay” for the lost revenue.</w:t>
      </w:r>
    </w:p>
    <w:p w14:paraId="1C1E3141" w14:textId="03551524" w:rsidR="00962565" w:rsidRPr="006672AA" w:rsidRDefault="00962565" w:rsidP="00962565"/>
    <w:sectPr w:rsidR="00962565" w:rsidRPr="00667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60B56" w14:textId="77777777" w:rsidR="003B2447" w:rsidRDefault="003B2447" w:rsidP="003374FE">
      <w:pPr>
        <w:spacing w:after="0" w:line="240" w:lineRule="auto"/>
      </w:pPr>
      <w:r>
        <w:separator/>
      </w:r>
    </w:p>
  </w:endnote>
  <w:endnote w:type="continuationSeparator" w:id="0">
    <w:p w14:paraId="50C671F8" w14:textId="77777777" w:rsidR="003B2447" w:rsidRDefault="003B2447"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987B6" w14:textId="77777777" w:rsidR="00D55103" w:rsidRDefault="00D5510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4C18" w14:textId="77777777" w:rsidR="00D55103" w:rsidRDefault="00D551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9A7F" w14:textId="77777777" w:rsidR="003B2447" w:rsidRDefault="003B2447" w:rsidP="003374FE">
      <w:pPr>
        <w:spacing w:after="0" w:line="240" w:lineRule="auto"/>
      </w:pPr>
      <w:r>
        <w:separator/>
      </w:r>
    </w:p>
  </w:footnote>
  <w:footnote w:type="continuationSeparator" w:id="0">
    <w:p w14:paraId="53484040" w14:textId="77777777" w:rsidR="003B2447" w:rsidRDefault="003B2447"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56A35" w14:textId="77777777" w:rsidR="00D55103" w:rsidRDefault="00D5510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414EC73C" w:rsidR="00894214" w:rsidRPr="00DB7164" w:rsidRDefault="00D55103" w:rsidP="00D55103">
    <w:pPr>
      <w:pStyle w:val="Header"/>
      <w:jc w:val="right"/>
      <w:rPr>
        <w:color w:val="FF0000"/>
      </w:rPr>
    </w:pPr>
    <w:r>
      <w:rPr>
        <w:noProof/>
        <w:color w:val="FF0000"/>
      </w:rPr>
      <w:drawing>
        <wp:inline distT="0" distB="0" distL="0" distR="0" wp14:anchorId="063E0FAF" wp14:editId="15EC599C">
          <wp:extent cx="2008532" cy="371794"/>
          <wp:effectExtent l="0" t="0" r="0" b="9525"/>
          <wp:docPr id="6" name="Picture 6"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48889" w14:textId="77777777" w:rsidR="00D55103" w:rsidRDefault="00D551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F204638"/>
    <w:multiLevelType w:val="hybridMultilevel"/>
    <w:tmpl w:val="3F4CC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C25245F"/>
    <w:multiLevelType w:val="hybridMultilevel"/>
    <w:tmpl w:val="E7E8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54617"/>
    <w:multiLevelType w:val="hybridMultilevel"/>
    <w:tmpl w:val="2C62F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876C7"/>
    <w:multiLevelType w:val="hybridMultilevel"/>
    <w:tmpl w:val="31C6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3"/>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34C75"/>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0E81"/>
    <w:rsid w:val="002E1814"/>
    <w:rsid w:val="002F189C"/>
    <w:rsid w:val="002F5CB0"/>
    <w:rsid w:val="003018A3"/>
    <w:rsid w:val="00302D28"/>
    <w:rsid w:val="00307A72"/>
    <w:rsid w:val="003153B5"/>
    <w:rsid w:val="003166D4"/>
    <w:rsid w:val="0031796B"/>
    <w:rsid w:val="00320B2D"/>
    <w:rsid w:val="0032348A"/>
    <w:rsid w:val="00323C76"/>
    <w:rsid w:val="00327050"/>
    <w:rsid w:val="003374FE"/>
    <w:rsid w:val="003637DD"/>
    <w:rsid w:val="00367C3E"/>
    <w:rsid w:val="00383002"/>
    <w:rsid w:val="003B2447"/>
    <w:rsid w:val="003B404C"/>
    <w:rsid w:val="003C7CD1"/>
    <w:rsid w:val="00414495"/>
    <w:rsid w:val="0041515F"/>
    <w:rsid w:val="00416C32"/>
    <w:rsid w:val="00424B3D"/>
    <w:rsid w:val="00444A02"/>
    <w:rsid w:val="00452330"/>
    <w:rsid w:val="00454645"/>
    <w:rsid w:val="00463B07"/>
    <w:rsid w:val="00491B18"/>
    <w:rsid w:val="00491CF7"/>
    <w:rsid w:val="004A14E8"/>
    <w:rsid w:val="004A3A66"/>
    <w:rsid w:val="004B4B36"/>
    <w:rsid w:val="004B7332"/>
    <w:rsid w:val="004D0304"/>
    <w:rsid w:val="004E6E9E"/>
    <w:rsid w:val="004E787B"/>
    <w:rsid w:val="004F4F94"/>
    <w:rsid w:val="005028B0"/>
    <w:rsid w:val="00503D43"/>
    <w:rsid w:val="00511D07"/>
    <w:rsid w:val="00513352"/>
    <w:rsid w:val="00524BBE"/>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B07AF"/>
    <w:rsid w:val="006B3599"/>
    <w:rsid w:val="006B5391"/>
    <w:rsid w:val="006C2BEB"/>
    <w:rsid w:val="006D30EC"/>
    <w:rsid w:val="006E5465"/>
    <w:rsid w:val="006E5A32"/>
    <w:rsid w:val="00700572"/>
    <w:rsid w:val="00702D50"/>
    <w:rsid w:val="0070560B"/>
    <w:rsid w:val="00721062"/>
    <w:rsid w:val="00732679"/>
    <w:rsid w:val="00734948"/>
    <w:rsid w:val="007357E3"/>
    <w:rsid w:val="007378E0"/>
    <w:rsid w:val="00760663"/>
    <w:rsid w:val="007655F2"/>
    <w:rsid w:val="0077302B"/>
    <w:rsid w:val="007818DC"/>
    <w:rsid w:val="00784F50"/>
    <w:rsid w:val="007856EF"/>
    <w:rsid w:val="0078669F"/>
    <w:rsid w:val="007A1BF3"/>
    <w:rsid w:val="007B51D2"/>
    <w:rsid w:val="007D1A96"/>
    <w:rsid w:val="007D2794"/>
    <w:rsid w:val="007E7F54"/>
    <w:rsid w:val="007F2561"/>
    <w:rsid w:val="00800E9A"/>
    <w:rsid w:val="00810935"/>
    <w:rsid w:val="00811D5F"/>
    <w:rsid w:val="00814A1F"/>
    <w:rsid w:val="00832674"/>
    <w:rsid w:val="00834B20"/>
    <w:rsid w:val="00835E1C"/>
    <w:rsid w:val="008362D2"/>
    <w:rsid w:val="00850806"/>
    <w:rsid w:val="008515F0"/>
    <w:rsid w:val="00852F52"/>
    <w:rsid w:val="00861A8A"/>
    <w:rsid w:val="008677D3"/>
    <w:rsid w:val="0087346C"/>
    <w:rsid w:val="00873FE4"/>
    <w:rsid w:val="00891F6A"/>
    <w:rsid w:val="00892D92"/>
    <w:rsid w:val="00894214"/>
    <w:rsid w:val="00897424"/>
    <w:rsid w:val="008A6CF7"/>
    <w:rsid w:val="008B0A97"/>
    <w:rsid w:val="008B5582"/>
    <w:rsid w:val="008C2FC6"/>
    <w:rsid w:val="008D7DC3"/>
    <w:rsid w:val="008F1839"/>
    <w:rsid w:val="008F4D50"/>
    <w:rsid w:val="00901B92"/>
    <w:rsid w:val="009049FA"/>
    <w:rsid w:val="00930727"/>
    <w:rsid w:val="00935924"/>
    <w:rsid w:val="00962565"/>
    <w:rsid w:val="00985DC6"/>
    <w:rsid w:val="00986DC5"/>
    <w:rsid w:val="00990AA5"/>
    <w:rsid w:val="009A04CC"/>
    <w:rsid w:val="009A396A"/>
    <w:rsid w:val="009B3C60"/>
    <w:rsid w:val="009C1BA6"/>
    <w:rsid w:val="009C3D02"/>
    <w:rsid w:val="009C40B5"/>
    <w:rsid w:val="009D7572"/>
    <w:rsid w:val="009E05ED"/>
    <w:rsid w:val="00A06073"/>
    <w:rsid w:val="00A10EDD"/>
    <w:rsid w:val="00A137FD"/>
    <w:rsid w:val="00A51348"/>
    <w:rsid w:val="00A618DA"/>
    <w:rsid w:val="00A66B66"/>
    <w:rsid w:val="00A70419"/>
    <w:rsid w:val="00A76F06"/>
    <w:rsid w:val="00A94650"/>
    <w:rsid w:val="00AA3C3A"/>
    <w:rsid w:val="00AB7769"/>
    <w:rsid w:val="00AC0ADB"/>
    <w:rsid w:val="00AC6AFA"/>
    <w:rsid w:val="00AE59D5"/>
    <w:rsid w:val="00AF127D"/>
    <w:rsid w:val="00B02DD1"/>
    <w:rsid w:val="00B128E7"/>
    <w:rsid w:val="00B16C5D"/>
    <w:rsid w:val="00B2009B"/>
    <w:rsid w:val="00B23472"/>
    <w:rsid w:val="00B27039"/>
    <w:rsid w:val="00B34E71"/>
    <w:rsid w:val="00B5255A"/>
    <w:rsid w:val="00B6015D"/>
    <w:rsid w:val="00B60684"/>
    <w:rsid w:val="00B8395A"/>
    <w:rsid w:val="00BA5C42"/>
    <w:rsid w:val="00BB3FBC"/>
    <w:rsid w:val="00BB454C"/>
    <w:rsid w:val="00BC1798"/>
    <w:rsid w:val="00BD458F"/>
    <w:rsid w:val="00BD6D70"/>
    <w:rsid w:val="00BE5257"/>
    <w:rsid w:val="00BF14A2"/>
    <w:rsid w:val="00BF6C86"/>
    <w:rsid w:val="00BF6F78"/>
    <w:rsid w:val="00C172E1"/>
    <w:rsid w:val="00C2201A"/>
    <w:rsid w:val="00C4232C"/>
    <w:rsid w:val="00C46D6B"/>
    <w:rsid w:val="00C67436"/>
    <w:rsid w:val="00C70359"/>
    <w:rsid w:val="00C8196D"/>
    <w:rsid w:val="00C9436F"/>
    <w:rsid w:val="00C95587"/>
    <w:rsid w:val="00CC308D"/>
    <w:rsid w:val="00CC6104"/>
    <w:rsid w:val="00CF261C"/>
    <w:rsid w:val="00D07439"/>
    <w:rsid w:val="00D10CCF"/>
    <w:rsid w:val="00D12961"/>
    <w:rsid w:val="00D3344C"/>
    <w:rsid w:val="00D4496F"/>
    <w:rsid w:val="00D55103"/>
    <w:rsid w:val="00D62C4B"/>
    <w:rsid w:val="00D739F8"/>
    <w:rsid w:val="00D75621"/>
    <w:rsid w:val="00D77B82"/>
    <w:rsid w:val="00DA2BDF"/>
    <w:rsid w:val="00DB196B"/>
    <w:rsid w:val="00DB7164"/>
    <w:rsid w:val="00DC6A55"/>
    <w:rsid w:val="00DD7E3C"/>
    <w:rsid w:val="00DE69BC"/>
    <w:rsid w:val="00DE7F80"/>
    <w:rsid w:val="00E04105"/>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3987"/>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345D588C-314B-4619-8647-7DE7B768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table" w:styleId="TableGrid">
    <w:name w:val="Table Grid"/>
    <w:basedOn w:val="TableNormal"/>
    <w:uiPriority w:val="39"/>
    <w:rsid w:val="004B7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305355167">
      <w:bodyDiv w:val="1"/>
      <w:marLeft w:val="0"/>
      <w:marRight w:val="0"/>
      <w:marTop w:val="0"/>
      <w:marBottom w:val="0"/>
      <w:divBdr>
        <w:top w:val="none" w:sz="0" w:space="0" w:color="auto"/>
        <w:left w:val="none" w:sz="0" w:space="0" w:color="auto"/>
        <w:bottom w:val="none" w:sz="0" w:space="0" w:color="auto"/>
        <w:right w:val="none" w:sz="0" w:space="0" w:color="auto"/>
      </w:divBdr>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D3A99-0BBE-A349-A737-01BE7BA6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429</Words>
  <Characters>2451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7</cp:revision>
  <cp:lastPrinted>2014-01-14T11:25:00Z</cp:lastPrinted>
  <dcterms:created xsi:type="dcterms:W3CDTF">2014-07-17T20:53:00Z</dcterms:created>
  <dcterms:modified xsi:type="dcterms:W3CDTF">2018-11-23T07:33:00Z</dcterms:modified>
</cp:coreProperties>
</file>