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25DCA60" w:rsidR="005C211B" w:rsidRDefault="00014C2C" w:rsidP="009E05ED">
      <w:pPr>
        <w:pStyle w:val="Heading1"/>
      </w:pPr>
      <w:r>
        <w:t>Business Budgeting</w:t>
      </w:r>
    </w:p>
    <w:p w14:paraId="310A76CC" w14:textId="10A72968" w:rsidR="00271CA6" w:rsidRDefault="00271CA6" w:rsidP="00271CA6">
      <w:pPr>
        <w:rPr>
          <w:lang w:val="en-US"/>
        </w:rPr>
      </w:pPr>
      <w:r>
        <w:rPr>
          <w:lang w:val="en-US"/>
        </w:rPr>
        <w:t xml:space="preserve">Match </w:t>
      </w:r>
      <w:r w:rsidR="00014C2C">
        <w:rPr>
          <w:lang w:val="en-US"/>
        </w:rPr>
        <w:t>the term with the best definition</w:t>
      </w:r>
      <w:r w:rsidR="006B347F">
        <w:rPr>
          <w:lang w:val="en-US"/>
        </w:rPr>
        <w:t xml:space="preserve"> that applies in the context of business budgeting</w:t>
      </w:r>
      <w:r w:rsidR="00CE3043">
        <w:rPr>
          <w:lang w:val="en-US"/>
        </w:rPr>
        <w:t>.</w:t>
      </w:r>
      <w:r w:rsidR="00014C2C">
        <w:rPr>
          <w:lang w:val="en-US"/>
        </w:rPr>
        <w:t xml:space="preserve">  Portions of some definitions may apply to multiple terms.  Use the term that best matches the complete definition.  Each term and definition will only be used once.</w:t>
      </w:r>
    </w:p>
    <w:tbl>
      <w:tblPr>
        <w:tblStyle w:val="TableGrid"/>
        <w:tblW w:w="9242" w:type="dxa"/>
        <w:tblLayout w:type="fixed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468"/>
        <w:gridCol w:w="5580"/>
        <w:gridCol w:w="270"/>
        <w:gridCol w:w="367"/>
        <w:gridCol w:w="2557"/>
      </w:tblGrid>
      <w:tr w:rsidR="00271CA6" w14:paraId="0A421C08" w14:textId="77777777" w:rsidTr="00E5074A">
        <w:tc>
          <w:tcPr>
            <w:tcW w:w="6048" w:type="dxa"/>
            <w:gridSpan w:val="2"/>
          </w:tcPr>
          <w:p w14:paraId="3A0E9E03" w14:textId="2B0D1C16" w:rsidR="00271CA6" w:rsidRDefault="00014C2C" w:rsidP="00271CA6">
            <w:pPr>
              <w:rPr>
                <w:lang w:val="en-US"/>
              </w:rPr>
            </w:pPr>
            <w:r>
              <w:rPr>
                <w:lang w:val="en-US"/>
              </w:rPr>
              <w:t>Definition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810E7C" w14:textId="77777777" w:rsidR="00271CA6" w:rsidRDefault="00271CA6" w:rsidP="00271CA6">
            <w:pPr>
              <w:rPr>
                <w:lang w:val="en-US"/>
              </w:rPr>
            </w:pPr>
          </w:p>
        </w:tc>
        <w:tc>
          <w:tcPr>
            <w:tcW w:w="2924" w:type="dxa"/>
            <w:gridSpan w:val="2"/>
          </w:tcPr>
          <w:p w14:paraId="0236C577" w14:textId="34906947" w:rsidR="00271CA6" w:rsidRDefault="00014C2C" w:rsidP="00271CA6">
            <w:pPr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</w:tr>
      <w:tr w:rsidR="00271CA6" w14:paraId="436BF6BE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291155C8" w14:textId="447E930C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80" w:type="dxa"/>
            <w:vAlign w:val="center"/>
          </w:tcPr>
          <w:p w14:paraId="1914B2F9" w14:textId="4C9D2303" w:rsidR="00271CA6" w:rsidRDefault="005E14FB" w:rsidP="00CB2826">
            <w:pPr>
              <w:rPr>
                <w:lang w:val="en-US"/>
              </w:rPr>
            </w:pPr>
            <w:r>
              <w:rPr>
                <w:lang w:val="en-US"/>
              </w:rPr>
              <w:t xml:space="preserve">A budgeting approach of cycling between budgets created by senior management and line management until the two are reconciled.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34DDF7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53A226C" w14:textId="1D1BBA7D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2474697" w14:textId="35238A1D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Bottom Up</w:t>
            </w:r>
          </w:p>
        </w:tc>
      </w:tr>
      <w:tr w:rsidR="00271CA6" w14:paraId="7951CA0A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326E595B" w14:textId="46DC1C7C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  <w:vAlign w:val="center"/>
          </w:tcPr>
          <w:p w14:paraId="4E66C3A9" w14:textId="1B623932" w:rsidR="00271CA6" w:rsidRDefault="007B6AB5" w:rsidP="00CB2826">
            <w:pPr>
              <w:rPr>
                <w:lang w:val="en-US"/>
              </w:rPr>
            </w:pPr>
            <w:r>
              <w:rPr>
                <w:lang w:val="en-US"/>
              </w:rPr>
              <w:t xml:space="preserve">A business budgeting approach where the senior manager or owner decides on all entries in the budget unilaterally.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1A9355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FE5BE21" w14:textId="4BCE0528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BBBA911" w14:textId="65413403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Budget</w:t>
            </w:r>
          </w:p>
        </w:tc>
      </w:tr>
      <w:tr w:rsidR="00271CA6" w14:paraId="74D01FE9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0DDD913D" w14:textId="053D94D2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80" w:type="dxa"/>
            <w:vAlign w:val="center"/>
          </w:tcPr>
          <w:p w14:paraId="08197E92" w14:textId="147C8772" w:rsidR="00271CA6" w:rsidRDefault="007B6AB5" w:rsidP="00CB2826">
            <w:pPr>
              <w:rPr>
                <w:lang w:val="en-US"/>
              </w:rPr>
            </w:pPr>
            <w:r>
              <w:rPr>
                <w:lang w:val="en-US"/>
              </w:rPr>
              <w:t>An annual budget representing business operations including sales and spending plans.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BCEF40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1C0CBCE" w14:textId="39A8AEC4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C578682" w14:textId="69563B22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Estimate</w:t>
            </w:r>
          </w:p>
        </w:tc>
      </w:tr>
      <w:tr w:rsidR="00271CA6" w14:paraId="696D10F1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491F86B6" w14:textId="2682F29D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80" w:type="dxa"/>
            <w:vAlign w:val="center"/>
          </w:tcPr>
          <w:p w14:paraId="597FCA5C" w14:textId="59A810DA" w:rsidR="00271CA6" w:rsidRDefault="005E14FB" w:rsidP="00CB2826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input from individuals and line managers to create the budget.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AD3FB8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F65230E" w14:textId="174569E0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5FEC234" w14:textId="2AA0F870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Extrapolation</w:t>
            </w:r>
          </w:p>
        </w:tc>
      </w:tr>
      <w:tr w:rsidR="00271CA6" w14:paraId="5E9847F1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3BD2487C" w14:textId="08A23EF7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80" w:type="dxa"/>
            <w:vAlign w:val="center"/>
          </w:tcPr>
          <w:p w14:paraId="0D339FA8" w14:textId="58278834" w:rsidR="00271CA6" w:rsidRDefault="007B6AB5" w:rsidP="00CB2826">
            <w:pPr>
              <w:rPr>
                <w:lang w:val="en-US"/>
              </w:rPr>
            </w:pPr>
            <w:r>
              <w:rPr>
                <w:lang w:val="en-US"/>
              </w:rPr>
              <w:t>The goals and plans that business management will use for creating and approving the business budget.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938A59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82FD567" w14:textId="5CFB7397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E1AA0D0" w14:textId="3C673102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Golden Rule</w:t>
            </w:r>
          </w:p>
        </w:tc>
      </w:tr>
      <w:tr w:rsidR="00271CA6" w14:paraId="24AFDC17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32470150" w14:textId="15F34C50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80" w:type="dxa"/>
            <w:vAlign w:val="center"/>
          </w:tcPr>
          <w:p w14:paraId="690A2DC1" w14:textId="41BD1FF7" w:rsidR="00271CA6" w:rsidRDefault="005E14FB" w:rsidP="00CB2826">
            <w:pPr>
              <w:rPr>
                <w:lang w:val="en-US"/>
              </w:rPr>
            </w:pPr>
            <w:r>
              <w:rPr>
                <w:lang w:val="en-US"/>
              </w:rPr>
              <w:t xml:space="preserve">A financial plan that is used to estimate the results of future operations.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3FACE0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130CD679" w14:textId="358E510E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E8CA557" w14:textId="58FC61CF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Management Intent</w:t>
            </w:r>
          </w:p>
        </w:tc>
      </w:tr>
      <w:tr w:rsidR="00271CA6" w14:paraId="47F30448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54FEFF90" w14:textId="31C34B7E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80" w:type="dxa"/>
            <w:vAlign w:val="center"/>
          </w:tcPr>
          <w:p w14:paraId="559F0B02" w14:textId="20339B5B" w:rsidR="00271CA6" w:rsidRDefault="007B6AB5" w:rsidP="00CB2826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guesses.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762172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3BEDE476" w14:textId="2FC860D3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06258BC" w14:textId="72ABA1C8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Op Plan</w:t>
            </w:r>
          </w:p>
        </w:tc>
      </w:tr>
      <w:tr w:rsidR="00271CA6" w14:paraId="18C18DB9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79DED653" w14:textId="2C33DD9E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80" w:type="dxa"/>
            <w:vAlign w:val="center"/>
          </w:tcPr>
          <w:p w14:paraId="74D136F8" w14:textId="762B158B" w:rsidR="00271CA6" w:rsidRDefault="007B6AB5" w:rsidP="006B347F">
            <w:pPr>
              <w:rPr>
                <w:lang w:val="en-US"/>
              </w:rPr>
            </w:pPr>
            <w:r>
              <w:rPr>
                <w:lang w:val="en-US"/>
              </w:rPr>
              <w:t xml:space="preserve">A business budgeting approach that requires support </w:t>
            </w:r>
            <w:r w:rsidR="00C95DB2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justification for every item before it is included in the budget.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36BC03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77290" w14:textId="35375738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2F659" w14:textId="12B922A0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Plan</w:t>
            </w:r>
          </w:p>
        </w:tc>
      </w:tr>
      <w:tr w:rsidR="00271CA6" w14:paraId="7BCEC591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649D299D" w14:textId="5CC9BCC1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580" w:type="dxa"/>
            <w:vAlign w:val="center"/>
          </w:tcPr>
          <w:p w14:paraId="7C525D79" w14:textId="5DE0650E" w:rsidR="00271CA6" w:rsidRDefault="005E5BC1" w:rsidP="00CB2826">
            <w:pPr>
              <w:rPr>
                <w:lang w:val="en-US"/>
              </w:rPr>
            </w:pPr>
            <w:r>
              <w:rPr>
                <w:lang w:val="en-US"/>
              </w:rPr>
              <w:t>A forecast of future financial results or performance.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D8EB4E" w14:textId="77777777" w:rsidR="00271CA6" w:rsidRDefault="00271CA6" w:rsidP="00CB2826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81561" w14:textId="1B6EF83F" w:rsidR="00271CA6" w:rsidRDefault="00271CA6" w:rsidP="00CB282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928CB" w14:textId="650B49F0" w:rsidR="00271CA6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SWAG</w:t>
            </w:r>
          </w:p>
        </w:tc>
      </w:tr>
      <w:tr w:rsidR="00CE3043" w14:paraId="7C3B9C97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12813664" w14:textId="425B2775" w:rsidR="00CE3043" w:rsidRDefault="00CE3043" w:rsidP="00CB282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80" w:type="dxa"/>
            <w:vAlign w:val="center"/>
          </w:tcPr>
          <w:p w14:paraId="02105B4C" w14:textId="28F8D4F1" w:rsidR="00CE3043" w:rsidRDefault="007B6AB5" w:rsidP="00CB2826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senior management creating a budget based upon the implementation of the strategy.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8B123B" w14:textId="77777777" w:rsidR="00CE3043" w:rsidRDefault="00CE3043" w:rsidP="00CB2826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DF1" w14:textId="23238975" w:rsidR="00CE3043" w:rsidRDefault="00014C2C" w:rsidP="00CB2826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20" w14:textId="3011310C" w:rsidR="00CE3043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TD – BU – TD</w:t>
            </w:r>
          </w:p>
        </w:tc>
      </w:tr>
      <w:tr w:rsidR="00CE3043" w14:paraId="1C39D067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40F3ED36" w14:textId="66F984A5" w:rsidR="00CE3043" w:rsidRDefault="00CE3043" w:rsidP="00CB282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580" w:type="dxa"/>
            <w:vAlign w:val="center"/>
          </w:tcPr>
          <w:p w14:paraId="68E0067C" w14:textId="7F8406F8" w:rsidR="00CE3043" w:rsidRDefault="005E5BC1" w:rsidP="00CB2826">
            <w:pPr>
              <w:rPr>
                <w:lang w:val="en-US"/>
              </w:rPr>
            </w:pPr>
            <w:r>
              <w:rPr>
                <w:lang w:val="en-US"/>
              </w:rPr>
              <w:t>The intended approach for reacting to a business problem or to operate the business throughout a scenario.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71FECA" w14:textId="77777777" w:rsidR="00CE3043" w:rsidRDefault="00CE3043" w:rsidP="00CB2826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DF9" w14:textId="255D1DFB" w:rsidR="00CE3043" w:rsidRDefault="00014C2C" w:rsidP="00CB2826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51A" w14:textId="77EC25B6" w:rsidR="00CE3043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Top Down</w:t>
            </w:r>
          </w:p>
        </w:tc>
      </w:tr>
      <w:tr w:rsidR="00CE3043" w14:paraId="5A681BA6" w14:textId="77777777" w:rsidTr="005E5BC1">
        <w:trPr>
          <w:trHeight w:val="576"/>
        </w:trPr>
        <w:tc>
          <w:tcPr>
            <w:tcW w:w="468" w:type="dxa"/>
            <w:vAlign w:val="center"/>
          </w:tcPr>
          <w:p w14:paraId="539BDF71" w14:textId="0D62A9E0" w:rsidR="00CE3043" w:rsidRDefault="00CE3043" w:rsidP="00CB282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580" w:type="dxa"/>
            <w:vAlign w:val="center"/>
          </w:tcPr>
          <w:p w14:paraId="1DD7DF60" w14:textId="7F314511" w:rsidR="00CE3043" w:rsidRDefault="005E14FB" w:rsidP="00CB2826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="007B6AB5">
              <w:rPr>
                <w:lang w:val="en-US"/>
              </w:rPr>
              <w:t xml:space="preserve">business </w:t>
            </w:r>
            <w:r>
              <w:rPr>
                <w:lang w:val="en-US"/>
              </w:rPr>
              <w:t xml:space="preserve">budgeting approach that uses the previous year’s budget or actual spending and applies factors based upon assumptions about future operations.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A119DF" w14:textId="77777777" w:rsidR="00CE3043" w:rsidRDefault="00CE3043" w:rsidP="00CB2826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8277" w14:textId="0053DCCF" w:rsidR="00CE3043" w:rsidRDefault="00014C2C" w:rsidP="00CB282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CBDA" w14:textId="4A4D74D9" w:rsidR="00CE3043" w:rsidRDefault="006B347F" w:rsidP="00CB2826">
            <w:pPr>
              <w:rPr>
                <w:lang w:val="en-US"/>
              </w:rPr>
            </w:pPr>
            <w:r>
              <w:rPr>
                <w:lang w:val="en-US"/>
              </w:rPr>
              <w:t>Zero Based Budgeting</w:t>
            </w:r>
          </w:p>
        </w:tc>
      </w:tr>
    </w:tbl>
    <w:p w14:paraId="46EE51BF" w14:textId="77777777" w:rsidR="00271CA6" w:rsidRPr="00271CA6" w:rsidRDefault="00271CA6" w:rsidP="00271CA6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D1C16" w14:textId="77777777" w:rsidR="00E23F50" w:rsidRDefault="00E23F50" w:rsidP="003374FE">
      <w:pPr>
        <w:spacing w:after="0" w:line="240" w:lineRule="auto"/>
      </w:pPr>
      <w:r>
        <w:separator/>
      </w:r>
    </w:p>
  </w:endnote>
  <w:endnote w:type="continuationSeparator" w:id="0">
    <w:p w14:paraId="47D99BF8" w14:textId="77777777" w:rsidR="00E23F50" w:rsidRDefault="00E23F5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91BF4" w14:textId="77777777" w:rsidR="00065C14" w:rsidRDefault="00065C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3705" w14:textId="77777777" w:rsidR="00065C14" w:rsidRDefault="00065C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D593" w14:textId="77777777" w:rsidR="00E23F50" w:rsidRDefault="00E23F50" w:rsidP="003374FE">
      <w:pPr>
        <w:spacing w:after="0" w:line="240" w:lineRule="auto"/>
      </w:pPr>
      <w:r>
        <w:separator/>
      </w:r>
    </w:p>
  </w:footnote>
  <w:footnote w:type="continuationSeparator" w:id="0">
    <w:p w14:paraId="2818D2D6" w14:textId="77777777" w:rsidR="00E23F50" w:rsidRDefault="00E23F5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E7D8" w14:textId="77777777" w:rsidR="00065C14" w:rsidRDefault="00065C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017AC67" w:rsidR="00894214" w:rsidRPr="00DB7164" w:rsidRDefault="00065C14" w:rsidP="00065C14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373DD1B2" wp14:editId="59A2712E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4734" w14:textId="77777777" w:rsidR="00065C14" w:rsidRDefault="00065C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B2C3C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14C2C"/>
    <w:rsid w:val="00020419"/>
    <w:rsid w:val="00023B3F"/>
    <w:rsid w:val="000269F1"/>
    <w:rsid w:val="0003661E"/>
    <w:rsid w:val="00044BE5"/>
    <w:rsid w:val="00051C52"/>
    <w:rsid w:val="0005658D"/>
    <w:rsid w:val="00065C14"/>
    <w:rsid w:val="000664B1"/>
    <w:rsid w:val="00086DFC"/>
    <w:rsid w:val="000A20DF"/>
    <w:rsid w:val="000A515D"/>
    <w:rsid w:val="000B3FD1"/>
    <w:rsid w:val="000F6189"/>
    <w:rsid w:val="0010006F"/>
    <w:rsid w:val="0010328B"/>
    <w:rsid w:val="00131E1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391D"/>
    <w:rsid w:val="00257BB4"/>
    <w:rsid w:val="00271A0F"/>
    <w:rsid w:val="00271CA6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14FB"/>
    <w:rsid w:val="005E5BC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2711"/>
    <w:rsid w:val="006B347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651"/>
    <w:rsid w:val="00784F50"/>
    <w:rsid w:val="007856EF"/>
    <w:rsid w:val="0078669F"/>
    <w:rsid w:val="007A1BF3"/>
    <w:rsid w:val="007B51D2"/>
    <w:rsid w:val="007B6AB5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2CE8"/>
    <w:rsid w:val="00C172E1"/>
    <w:rsid w:val="00C2201A"/>
    <w:rsid w:val="00C4232C"/>
    <w:rsid w:val="00C46D6B"/>
    <w:rsid w:val="00C70359"/>
    <w:rsid w:val="00C8196D"/>
    <w:rsid w:val="00C83D4B"/>
    <w:rsid w:val="00C9436F"/>
    <w:rsid w:val="00C95587"/>
    <w:rsid w:val="00C95DB2"/>
    <w:rsid w:val="00CB2826"/>
    <w:rsid w:val="00CB30EE"/>
    <w:rsid w:val="00CC308D"/>
    <w:rsid w:val="00CC6104"/>
    <w:rsid w:val="00CE3043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1A26"/>
    <w:rsid w:val="00DB7164"/>
    <w:rsid w:val="00DC6A55"/>
    <w:rsid w:val="00DD7E3C"/>
    <w:rsid w:val="00DE69BC"/>
    <w:rsid w:val="00DE7F80"/>
    <w:rsid w:val="00E20622"/>
    <w:rsid w:val="00E23F50"/>
    <w:rsid w:val="00E266AD"/>
    <w:rsid w:val="00E30121"/>
    <w:rsid w:val="00E30323"/>
    <w:rsid w:val="00E3132C"/>
    <w:rsid w:val="00E429A5"/>
    <w:rsid w:val="00E45A5C"/>
    <w:rsid w:val="00E5074A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E6652C46-05EA-41D8-B804-F60331FF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27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35C83-086D-CB42-91DE-77D82DD5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2014-07-17T20:54:00Z</dcterms:created>
  <dcterms:modified xsi:type="dcterms:W3CDTF">2018-11-23T07:30:00Z</dcterms:modified>
</cp:coreProperties>
</file>