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Introduction to Access 2021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Download the course and exercise files to an easily accessible folder.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the course file ‘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TechGurusTicketing_Completed_Database.accdb</w:t>
      </w:r>
      <w:r w:rsidDel="00000000" w:rsidR="00000000" w:rsidRPr="00000000">
        <w:rPr>
          <w:rFonts w:ascii="Arial" w:cs="Arial" w:eastAsia="Arial" w:hAnsi="Arial"/>
          <w:rtl w:val="0"/>
        </w:rPr>
        <w:t xml:space="preserve">’.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the form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‘frmTicketMaintenance’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the completed version of the database. </w:t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731200" cy="3695700"/>
            <wp:effectExtent b="12700" l="12700" r="12700" t="1270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95700"/>
                    </a:xfrm>
                    <a:prstGeom prst="rect"/>
                    <a:ln w="12700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IiBMJUxNnp5YIubjGVeORNViQ==">AMUW2mWsKAGBs3eIxNLyOdxL+yjoJPEEUbgvu/GwoTidUnBY61nClHlZ2jId11Rbj3dPSUZi/gI5SwWn998H+MLqOCWk8s4YhauHYM3/VTi8oi8928XHFS8Sezv3dTTxqGw62YBw7hjW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